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PE22.004130 vom 10. April 2024</w:t>
      </w:r>
    </w:p>
    <w:p>
      <w:r>
        <w:t>VD Tribunal cantonal, 2024-04-10, FR</w:t>
      </w:r>
    </w:p>
    <w:p>
      <w:r>
        <w:rPr>
          <w:b/>
        </w:rPr>
        <w:t xml:space="preserve">Quelle: </w:t>
      </w:r>
      <w:r>
        <w:t>https://mcp.opencaselaw.ch/entscheid/vd_gerichte_PE22.004130</w:t>
      </w:r>
    </w:p>
    <w:p>
      <w:r>
        <w:t>FR: VD_GERICHTE PE22.004130 du 10 avril 2024</w:t>
      </w:r>
    </w:p>
    <w:p>
      <w:r>
        <w:t>IT: VD_GERICHTE PE22.004130 del 10 aprile 2024</w:t>
      </w:r>
    </w:p>
    <w:p>
      <w:pPr>
        <w:pStyle w:val="Heading2"/>
      </w:pPr>
      <w:r>
        <w:t>Erwägungen</w:t>
      </w:r>
    </w:p>
    <w:p>
      <w:r>
        <w:rPr>
          <w:b/>
        </w:rPr>
        <w:t>E. 20</w:t>
      </w:r>
    </w:p>
    <w:p>
      <w:r>
        <w:t>juillet 2023 consid. 3.5 ; CREP 25 août 2023/690 consid. 2). 2.2.2 Selon l'art. 179quater aCP, en vigueur au moment des faits, se rend coupable de violation du domaine secret ou du domaine privé au</w:t>
      </w:r>
    </w:p>
    <w:p>
      <w:r>
        <w:t>- 6 -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par l’al. 1 (al. 2) et celui qui aura conservé une prise de vues ou l’aura rendue accessible à un tiers, alors qu’il savait ou devait présumer qu’elle avait été obtenue au moyen d’une infraction visée à l’al. 1 (al. 3).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w:t>
      </w:r>
    </w:p>
    <w:p>
      <w:r>
        <w:t>- 7 -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(ATF 118 IV 41 consid. 4e ; TF 6B_1171/2022 du 19 octobre 2023 consid. 2.1 ; TF 6B_56/2021 du 24 février 2022 consid. 2.2.3). L’infraction de l’art. 179quater al. 1 CP est intentionnelle. L’auteur doit avoir la volonté d’observer des faits qui relèvent du domaine secret ou privé de la victime au moyen d’un appareil de prise de vues ou de les fixer sur un porteur d’images sans que la victime n’ait donné son consentement. Le dol éventuel est toutefois suffisant (Henzelin/Massrouri, in : Macaluso/Moreillon/Queloz [éd.], Commentaire romand, Code pénal II, 2e éd., Bâle 2017, n. 17 ad art. 179quater CP ; Dupuis et al. [éd.], Petit commentaire CP, 2e éd., Bâle 2017, n 15 ad art. 179quater CP). L’élément subjectif de l’infraction est ainsi réalisé si l'auteur envisage le résultat dommageable et agit, même s'il ne le souhaite pas, parce qu'il s'en accommode pour le cas où il se produirait (ATF 135 IV 152 consid. 2.3.2 ; TF 6B_953/2017 du 28 mars 2018 consid. 2.1.3).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w:t>
      </w:r>
    </w:p>
    <w:p>
      <w:r>
        <w:t>- 8 - consid. 5.3).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138 V 74 consid. 8.2 ; ATF 133 IV 9 consid. 4.1 ; TF 6B_953/2017 ibidem). 2.2.3 En vertu de l’art. 179bis aCP, en vigueur au moment des faits, celui qui, sans le consentement de tous les participants, aura écouté à l’aide d’un appareil d’écoute ou enregistré sur un porteur de son une conversation non publique entre d’autres personnes, celui qui aura tiré profit ou donné connaissance à un tiers d’un fait qu’il savait ou devait présumer être parvenu à sa propre connaissance au moyen d’une infraction visée à l’al. 1, celui qui aura conservé ou rendu accessible à un tiers un enregistrement qu’il savait ou devait présumer avoir été réalisé au moyen d’une infraction visée à l’al. 1, sera, sur plainte, puni d’une peine privative de liberté de trois ans au plus ou d’une peine pécuniaire. Sur le plan objectif, le comportement typique est l’écoute, à l’aide d’un appareil d’écoute ou l’enregistrement sur un porteur de son d’une conversation non publique entre d’autres personnes, dont l’auteur est extérieur, soit un échange oral de propos entre deux personnes au moins, sans le consentement des participants, peu importe le contenu de ladite conversation. Il faut admettre qu’il n’est pas nécessaire que le sujet de la conversation soit secret et que c’est bien le caractère privé de la conversation comme telle qui est protégée (Dupuis et al. [éd.], op. cit., art. 179bis CP et les références citées). Selon la jurisprudence, pour déterminer si une conversation est « non publique » au sens des art. 179bis et 179ter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w:t>
      </w:r>
    </w:p>
    <w:p>
      <w:r>
        <w:t>- 9 - décisive. Cette solution permet ainsi de protéger l'individu contre la diffusion de ses propos en dehors du cercle des personnes avec lequel il a choisi de partager ses opinions, peu importe en quelle qualité il s'est exprimé (ATF 146 IV 126 consid. 3.6). Du point de vue subjectif, le délit est intentionnel, le dol éventuel pouvant suffire (Dupuis et al. [éd.], op. cit., n. 18 et 28 ad art. 179bis CP et les références citées). 2.3 En l’espèce, plusieurs éléments indiquent qu’il n’y a eu ni conscience, ni volonté de la part de F.________, même sous la forme du dol éventuel. En effet, lorsque les caméras ont été posées, le prévenu n’avait pas encore emménagé dans sa maison et ne connaissait pas ses voisins. De plus, il a mandaté une entreprise pour les installer et pouvait ainsi légitimement penser que tout était en ordre. Au demeurant, la caméra litigieuse filmait essentiellement le flan de sa maison et seulement une toute petite portion de la propriété de la recourante, ce qui démontre bien que le but de F.________ était de sécuriser sa propriété et non d’espionner ses voisins. D’ailleurs, dès que celui-ci a eu connaissance du problème concernant le champ de la caméra, il l’a fait opacifier. Aucun élément ne démontre ainsi que F.________ aurait envisagé que ses caméras puissent violer la sphère privée de la recourante et qu’il s’en serait accommodé. L’infraction de l’art. 179quater CP n’apparaît donc pas réalisée. Il en va de même concernant l’enregistrement des conversations. L’intention de F.________ n’était manifestement pas d’écouter les discussions de sa voisine et ses caméras ne permettaient de toute façon pas de le faire, puisque les échanges verbaux étaient inaudibles selon la Procureure, ce qu’il n’y a pas lieu de remettre en question. L’infraction de l’art. 179bis CP n’apparaît dès lors pas réalisée non plus. Au vu de ces éléments et contrairement à ce que fait valoir la recourante, si F.________ devait être mis en accusation, un acquittement apparaîtrait beaucoup plus probable qu’une condamnation, de telle sorte qu’on ne saurait reprocher au Ministère public d’avoir violé le principe in dubio pro duriore. Pour le surplus, la requête de la recourante tendant à la production par le prévenu de l’ensemble de ses enregistrements</w:t>
      </w:r>
    </w:p>
    <w:p>
      <w:r>
        <w:t>- 10 - s’apparente, comme l’a retenu la Procureure, à une recherche indéterminée de preuves (fishing expedition), de telle sorte que les preuves résultant d’un tel procédé, prohibé en procédure pénale, seraient en principe inexploitables (ATF 149 IV 369 consid. 1.3.1 in fine). C’est ainsi à juste titre que le Ministère public a considéré que les éléments constitutifs des infractions réprimées par les art. 179bis et 179quater CP n’étaient pas réalisés et qu’il a ordonné le classement de la procédure. 3. Au vu de ce qui précède, le recours, manifestement mal fondé, doit être rejeté sans échange d’écritures et l’ordonnance entreprise confirmée. Les frais de la procédure de recours, constitués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21 novembre 2023 est confirmée. III. Les frais d’arrêt, par 990 fr. (neuf cent nonante francs), sont mis à la charge de Z.________.</w:t>
      </w:r>
    </w:p>
    <w:p>
      <w:r>
        <w:t>- 11 - IV. L’arrêt est exécutoire. Le président : La greffière : Du Le présent arrêt, dont la rédaction a été approuvée à huis clos, est notifié, par l'envoi d'une copie complète, à : - Me Olivier Nicod (pour Z.________), - M. F.________,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