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PE22.003756 vom 30. Mai 2022</w:t>
      </w:r>
    </w:p>
    <w:p>
      <w:r>
        <w:t>VD Tribunal cantonal, 2022-05-30, FR</w:t>
      </w:r>
    </w:p>
    <w:p>
      <w:r>
        <w:rPr>
          <w:b/>
        </w:rPr>
        <w:t xml:space="preserve">Quelle: </w:t>
      </w:r>
      <w:r>
        <w:t>https://mcp.opencaselaw.ch/entscheid/vd_gerichte_PE22.003756</w:t>
      </w:r>
    </w:p>
    <w:p>
      <w:r>
        <w:t>FR: VD_GERICHTE PE22.003756 du 30 mai 2022</w:t>
      </w:r>
    </w:p>
    <w:p>
      <w:r>
        <w:t>IT: VD_GERICHTE PE22.003756 del 30 maggio 2022</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déposé en temps utile devant l’autorité compétente par la partie plaignante qui a qualité pour recourir</w:t>
      </w:r>
    </w:p>
    <w:p>
      <w:r>
        <w:t>- 5 - (art. 382 al. 1 CPP) et dans les formes prescrites (art. 385 al. 1 CPP), le recours est recevable.</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t>- 6 -</w:t>
      </w:r>
    </w:p>
    <w:p>
      <w:r>
        <w:rPr>
          <w:b/>
        </w:rPr>
        <w:t>E. 3.1</w:t>
      </w:r>
    </w:p>
    <w:p>
      <w:r>
        <w:t>Le recourant reproche au Ministère public d’avoir considéré qu’aucune mesure d’instruction ne permettait d’étayer sa version des faits, selon laquelle il aurait été victime d’une tentative d’homicide. Il fait valoir que les auditions de R.________ et de C.________ permettraient de fournir des informations précieuses sur le déroulement des événements et soutient que la production en ses mains d’une attestation émanant de sa psychothérapeute pourrait attester du traumatisme subi et étayer sa version des faits.</w:t>
      </w:r>
    </w:p>
    <w:p>
      <w:r>
        <w:rPr>
          <w:b/>
        </w:rPr>
        <w:t>E. 3.2.1</w:t>
      </w:r>
    </w:p>
    <w:p>
      <w:r>
        <w:t>Aux termes de l'art. 111 CP (Code pénal suisse du 21 décembre 1937 ; RS 311.0), celui qui aura intentionnellement tué une personne sera puni d'une peine privative de liberté de cinq ans au moins, en tant que les conditions prévues aux articles suivants ne sont pas réalisées. Il y a tentative au sens de l’art. 22 al. 1 CP lorsque l'auteur a réalisé tous les éléments subjectifs de l'infraction et manifesté sa décision de la commettre, alors que les éléments objectifs font, en tout ou en partie, défaut (ATF 140 IV 150 consid. 3.4). Il y a donc tentative de meurtre lorsque l'auteur, agissant intentionnellement, commence l'exécution de cette infraction, manifestant ainsi sa décision de la commettre, sans que le résultat ne se produise (TF 6B_418/2021 du 7 avril 2022 consid. 3.2.2 ; TF 6B_1142/2020 du 12 mai 2021 consid. 3.1.3 ; TF 6B_366/2020 17 novembre 2020 consid. 3.1.3).</w:t>
      </w:r>
    </w:p>
    <w:p>
      <w:r>
        <w:rPr>
          <w:b/>
        </w:rPr>
        <w:t>E. 3.2.2</w:t>
      </w:r>
    </w:p>
    <w:p>
      <w:r>
        <w:t>L'art. 129 CP punit d'une peine privative de liberté de cinq ans au plus ou d'une peine pécuniaire celui qui, sans scrupules, aura mis autrui en danger de mort imminent. Cette infraction suppose la réunion de trois éléments, à savoir la mise d'autrui dans un danger de mort imminent, la conscience de ce fait et l'absence de scrupules (TF 6B_1321/2017 du 26 avril 2018 consid. 2.1 ;</w:t>
      </w:r>
    </w:p>
    <w:p>
      <w:r>
        <w:t>- 7 - TF 6B_460/2017 du 12 février 2018 consid. 1.1).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6B_526/2021 du 22 décembre 2021 consid. 3.1). Il doit en outre s'agir d'un danger de mort, et non pas seulement d'un danger pour la santé ou l'intégrité corporelle (ATF 133 IV 1 consid. 5.1).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consid. 2a ; TF 6B_526/2021 précité ; TF 6B_1385/2019 du 27 février 2020 consid. 3.1). Du point de vue subjectif, il faut que l'auteur ait agi intentionnellement (ATF 133 IV 1 précité) et que l'acte ait été commis sans scrupules (sur cette condition, cf. ATF 114 IV 103 consid. 2a). L'auteur doit avoir conscience du danger de mort imminent pour autrui et adopter volontairement un comportement qui le crée (ATF 121 IV 67 consid. 2d). En revanche, il ne veut pas, même à titre éventuel, la réalisation du risque, sans quoi il s'agirait d'une tentative d'homicide (ATF 107 IV 163 consid. 3). Le dol éventuel ne suffit pas (TF 6B_1321/2017 précité ; TF 6B_876/2015 du 2 mai 2016 consid. 2.1).</w:t>
      </w:r>
    </w:p>
    <w:p>
      <w:r>
        <w:rPr>
          <w:b/>
        </w:rPr>
        <w:t>E. 3.3</w:t>
      </w:r>
    </w:p>
    <w:p>
      <w:r>
        <w:t>S’il peut être donné acte au recourant que R.________ et C.________ n’ont pas été entendus dans le cadre de sa plainte pour tentative d’homicide, il y a lieu de relever qu’ils ont tous deux été auditionnés sur le déroulement des faits litigieux dans le cadre de la plainte déposée par C.________ à son encontre. A cet égard, si C.________ a admis l’avoir ceinturé au niveau du cou avec ses bras, il a spontanément déclaré qu’il ne voulait pas l’étrangler, ni l’étouffer, mais uniquement</w:t>
      </w:r>
    </w:p>
    <w:p>
      <w:r>
        <w:t>- 8 - l’immobiliser (PV aud. 1). Cette intention est corroborée par le fait – confirmé par le recourant tant dans sa plainte que lors de son audition à la police (P. 9 ; PV aud. 3, R. 7) – que C.________ a demandé à sa compagne d’appeler la police alors qu’il le maintenait, ce qu’il n’aurait évidemment pas fait si son intention avait été de le tuer. Quant à R.________, entendue par la police le 2 décembre 2021, elle a déclaré que le recourant s’était immédiatement énervé en voyant C.________, qu’il s’était dirigé vers lui en proférant diverses insultes et qu’il avait essayé de lui donner un coup de pied que son compagnon était parvenu à éviter en baissant la tête. Elle a ajouté que P.________ avait donné un second coup de pied au niveau de la tête de C.________, ce qui lui avait fait perdre l’équilibre et avait fait tomber ses lunettes. Elle a indiqué avoir ramassé les lunettes de son compagnon et s’être rendue dans l’immeuble pour faire appel à la police, précisant ignorer le déroulement de la suite de la bagarre. Elle a ajouté avoir ensuite entendu la porte d’entrée s’ouvrir, avoir constaté que C.________ avait réussi à s’enfermer dans l’immeuble et constaté qu’il présentait des blessures au niveau de la tête et de l’avant-bras droit (PV aud. 2, R. 8). Au regard de ce qui précède, force est de constater qu’il est absolument impossible, à ce stade, d’imputer une quelconque volonté homicide à C.________ et on ne voit pas quelle mesure d’instruction pourrait apporter des éléments complémentaires à cet égard. En particulier, la production par le recourant d’une attestation établie par sa psychothérapeute serait tout au plus susceptible d’attester la prise en charge thérapeutique initiée et les éventuelles conséquences psychologiques constatées, mais aucunement une intention homicide ou une mise en danger concrète de sa vie. A cet égard, il y a lieu de relever que le recourant n’a produit aucun certificat médical attestant d’éventuelles lésions au niveau du cou et qu’aucun autre élément ne permet de fournir le moindre indice d’un danger de mort imminent, pas plus que, sur le plan subjectif, d’une absence de scrupules ou d’une quelconque intention en ce sens.</w:t>
      </w:r>
    </w:p>
    <w:p>
      <w:r>
        <w:t>- 9 - Pour le surplus, comme l’a relevé à juste titre le Ministère public, l’infraction de lésions corporelles simples ne se poursuit que sur plainte. Or, en l’espèce, déposée près de six mois après les faits, la plainte de P.________ est manifestement tardive, étant au demeurant relevé que celui-ci ne fait valoir ni n’établit l’existence d’aucune lésion corporelle. Compte tenu de ce qui précède, c’est à juste titre que le procureur a considéré qu’une condamnation de C.________ à raison des faits susmentionnés pouvait d’emblée être exclue et qu’il a refusé d’entrer en matière sur la plainte du recourant.</w:t>
      </w:r>
    </w:p>
    <w:p>
      <w:r>
        <w:rPr>
          <w:b/>
        </w:rPr>
        <w:t>E. 4</w:t>
      </w:r>
    </w:p>
    <w:p>
      <w:r>
        <w:t>En définitive, le recours, manifestement mal fondé, doit être rejeté sans échange d’écritures (art. 390 al. 2 CPP) et l’ordonnance attaquée confirmée. Les frais de la procédure de recours, constitués du seul émolument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de non-entrée en matière du 19 avril 2022 est confirmée. III. Les frais d’arrêt, par 990 fr. (neuf cent nonante francs), sont mis à la charge de P.________.</w:t>
      </w:r>
    </w:p>
    <w:p>
      <w:r>
        <w:t>- 10 - IV. L’arrêt est exécutoire. La présidente : La greffière : Du Le présent arrêt, dont la rédaction a été approuvée à huis clos, est notifié, par l'envoi d'une copie complète, à : - Me Véronique Fontana, avocate (pour P.________), - Ministère public central, et communiqué à : - M. le Procureur de l’arrondissement de La Côte, - M. C.________,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