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PE22.003568 vom 6. Oktober 2023</w:t>
      </w:r>
    </w:p>
    <w:p>
      <w:r>
        <w:t>VD Tribunal cantonal, 2023-10-06, FR</w:t>
      </w:r>
    </w:p>
    <w:p>
      <w:r>
        <w:rPr>
          <w:b/>
        </w:rPr>
        <w:t xml:space="preserve">Quelle: </w:t>
      </w:r>
      <w:r>
        <w:t>https://mcp.opencaselaw.ch/entscheid/vd_gerichte_PE22.003568</w:t>
      </w:r>
    </w:p>
    <w:p>
      <w:r>
        <w:t>FR: VD_GERICHTE PE22.003568 du 6 octobre 2023</w:t>
      </w:r>
    </w:p>
    <w:p>
      <w:r>
        <w:t>IT: VD_GERICHTE PE22.003568 del 6 ottobre 2023</w:t>
      </w:r>
    </w:p>
    <w:p>
      <w:pPr>
        <w:pStyle w:val="Heading2"/>
      </w:pPr>
      <w:r>
        <w:t>Erwägungen</w:t>
      </w:r>
    </w:p>
    <w:p>
      <w:r>
        <w:rPr>
          <w:b/>
        </w:rPr>
        <w:t>E. 5.1</w:t>
      </w:r>
    </w:p>
    <w:p>
      <w:r>
        <w:t>L’appelant ne conteste pas la peine infligée. Celle-ci soit cependant être réexaminée d’office.</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D’après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w:t>
      </w:r>
    </w:p>
    <w:p>
      <w:r>
        <w:t>- 21 -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w:t>
      </w:r>
    </w:p>
    <w:p>
      <w:r>
        <w:rPr>
          <w:b/>
        </w:rPr>
        <w:t>E. 5.2.2</w:t>
      </w:r>
    </w:p>
    <w:p>
      <w:r>
        <w:t>Aux termes de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La peine pécuniaire constitue la sanction principale dans le domaine de la petite et moyenne criminalité, les peines privatives de liberté ne devant être prononcées que lorsque l'État ne peut pas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147 IV 241 consid. 3.2 ; ATF 144 IV 313 consid. 1.1.1 ; TF 6B_1097/2023 du 28 mars 2024 consid. 2.1). Conformément à l'art. 41 al. 2 CP, lorsque le juge choisit de prononcer à la place d'une peine pécuniaire une peine privative de liberté, il doit motiver le choix de cette dernière peine de manière circonstanciée.</w:t>
      </w:r>
    </w:p>
    <w:p>
      <w:r>
        <w:rPr>
          <w:b/>
        </w:rPr>
        <w:t>E. 5.2.3</w:t>
      </w:r>
    </w:p>
    <w:p>
      <w:r>
        <w:t>Le juge suspend en règle générale l'exécution d'une peine pécuniaire ou d'une privative de liberté de deux ans au plus lorsqu'une peine ferme ne paraît pas nécessaire pour détourner l'auteur d'autres crimes ou délits (art. 42 al. 1 CP). Si le juge suspend totalement ou partiellement l’exécution d’une peine, il impartit au condamné un délai d’épreuve de deux à cinq ans (art. 44 al. 1 CP).</w:t>
      </w:r>
    </w:p>
    <w:p>
      <w:r>
        <w:t>- 22 -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w:t>
      </w:r>
    </w:p>
    <w:p>
      <w:r>
        <w:rPr>
          <w:b/>
        </w:rPr>
        <w:t>E. 5.2.4</w:t>
      </w:r>
    </w:p>
    <w:p>
      <w:r>
        <w:t>Aux termes de l'art. 46 al. 1 CP si, durant le délai d'épreuve, le condamné commet un crime ou un délit et qu'il y a dès lors lieu de prévoir qu'il commettra de nouvelles infractions, le juge révoque le sursis ou le sursis partiel. Selon l'art. 46 al. 2 1ère phrase CP, s'il n'y a pas lieu de prévoir que le condamné commettra de nouvelles infractions, le juge renonce à ordonner la révocation.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En matière de sursis, conformément à la jurisprudence, le juge doit se livrer à une appréciation d'ensemble, tenant compte des circonstances de l'infraction, des antécédents de l'auteur, de sa réputation et de sa situation personnelle au moment du jugement, notamment de l'état d'esprit qu'il manifeste (ATF</w:t>
      </w:r>
    </w:p>
    <w:p>
      <w:r>
        <w:t>- 23 - 135 IV 180 consid. 2.1 ; ATF 134 IV 1 consid. 4.2.1). Lors de l'appréciation des perspectives d'amendement,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consid. 4.5 ; TF 6B_1520/2022 du 5 septembre 2023 consid. 5.2 et les références citées).</w:t>
      </w:r>
    </w:p>
    <w:p>
      <w:r>
        <w:rPr>
          <w:b/>
        </w:rPr>
        <w:t>E. 5.3</w:t>
      </w:r>
    </w:p>
    <w:p>
      <w:r>
        <w:t>La culpabilité de l’appelant n’est pas négligeable. Il s’est approprié un téléphone qu’il savait pertinemment ne pas lui appartenir. Il persiste à contester les faits et ne démontre aucune prise de conscience. Il ne s’agit pas de sa première infraction contre le patrimoine d’autrui. On ne voit aucun élément à décharge. Au vu des antécédents de l’appelant ainsi que de sa situation financière obérée, une peine pécuniaire n’aurait manifestement pas d’effet dissuasif. C’est une peine privative de liberté qui devra être prononcée. On ne voit du reste pas que la situation personnelle de l’appelant, voire son état de santé, s’opposerait d’emblée à l’exécution d’une peine privative de liberté. L’appelant ayant commis deux nouvelles infractions dans le délai d’épreuve accordé le 18 novembre 2019 par le Ministère public cantonal Strada, son pronostic est défavorable. La peine prononcée sera donc ferme. Cette peine pourra cependant avoir un effet dissuasif suffisant pour justifier de ne pas révoquer le sursis accordé le 18 novembre 2019. Au vu de ce qui précède, c’est une peine privative liberté ferme de 30 jours qui devra être prononcée à l’encontre de l’appelant pour appropriation illégitime.</w:t>
      </w:r>
    </w:p>
    <w:p>
      <w:r>
        <w:t>- 24 -</w:t>
      </w:r>
    </w:p>
    <w:p>
      <w:r>
        <w:rPr>
          <w:b/>
        </w:rPr>
        <w:t>E. 6</w:t>
      </w:r>
    </w:p>
    <w:p>
      <w:r>
        <w:t>En définitive, l’appel doit être partiellement admis et le jugement entrepris modifié dans le sens des considérants. Me Mirko Giorgini a produit une liste des opérations faisant état de 14h55 d’activité d’avocat-stagiaire par Me Jesula Hänni pour la procédure d’appel. Il n’y a pas lieu de s’en écarter, si ce n’est pour réduire le poste relatif aux débats d’appel à 30 minutes afin de tenir compte de la durée effective de l’audience. Jusqu’au 31 décembre 2023 les honoraires s’élèvent à 815 fr., correspondant à 7h25 d’activité au tarif horaire de 110 fr. (art. 2 al. 1 let. a et b RAJ [règlement sur l'assistance judiciaire en matière civile du 7 décembre 2010 ; BLV 211.02.3] par renvoi de l'art. 26b TFIP [tarif des frais de procédure et indemnités en matière pénale ; BLV 312.03.1). Viennent s’y ajouter des débours forfaitaires à hauteur de 2 % des honoraires admis (art. 3bis al. 1 RAJ), par 16 fr. 30, ainsi que la TVA au taux de 7,1 % sur le tout, par 64 fr. 10. Dès le 1er janvier 2024, les honoraires s’élèvent à 605 fr., correspondant à 5h30 d’activité au tarif horaire de 110 fr., auxquels s’ajoutent les débours forfaitaires, par 12 fr. 10, une vacation forfaitaire de 80 fr. (art. 3bis al. 3 RAJ) et la TVA au taux de 8,1 %, par 56 fr. 45. L’indemnité s’élève ainsi à 1649 fr. 80. Les frais de procédure s’élèvent à 3'809 fr. 80. Ils sont constitués de l’émolument de jugement, par 1’760 fr. (art. 21 al. 1 TFIP), de l’émolument d’audience, par 400 fr. (art. 21 al. 2 TFIP), et de l’indemnité d’office arrêtée ci-dessus. Ils seront mis par moitié à la charge de F.________ qui succombe partiellement (art. 428 al. 1 CPP). Le solde sera laissé à la charge de l’Etat F.________ sera tenu de rembourser à l’Etat de Vaud le montant de l’indemnité d’office allouée à son défenseur d’office dès que sa situation financière le permettra (art. 135 al. 4 CPP).</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