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PE22.003406 vom 13. September 2024</w:t>
      </w:r>
    </w:p>
    <w:p>
      <w:r>
        <w:t>VD Tribunal cantonal, 2024-09-13, FR</w:t>
      </w:r>
    </w:p>
    <w:p>
      <w:r>
        <w:rPr>
          <w:b/>
        </w:rPr>
        <w:t xml:space="preserve">Quelle: </w:t>
      </w:r>
      <w:r>
        <w:t>https://mcp.opencaselaw.ch/entscheid/vd_gerichte_PE22.003406</w:t>
      </w:r>
    </w:p>
    <w:p>
      <w:r>
        <w:t>FR: VD_GERICHTE PE22.003406 du 13 septembre 2024</w:t>
      </w:r>
    </w:p>
    <w:p>
      <w:r>
        <w:t>IT: VD_GERICHTE PE22.003406 del 13 settembre 2024</w:t>
      </w:r>
    </w:p>
    <w:p>
      <w:pPr>
        <w:pStyle w:val="Heading2"/>
      </w:pPr>
      <w:r>
        <w:t>Erwägungen</w:t>
      </w:r>
    </w:p>
    <w:p>
      <w:r>
        <w:rPr>
          <w:b/>
        </w:rPr>
        <w:t>E. 4</w:t>
      </w:r>
    </w:p>
    <w:p>
      <w:r>
        <w:t>En première instance, F.________ a conclu à l’allocation d’une indemnité de 12'175 fr. 15 pour les dépenses occasionnées par la procédure. Ce montant correspond aux notes d’honoraires suivantes (P. 24) : - note du 7 octobre 2022 : 2h05 (1h40 à 400 fr./h et 0h25 à 350 fr./h), 25 fr. de débours et 7.7% de TVA ; - note du 17 janvier 2023 : 4h20 (4h05 à 400 fr./h et 0h15 à 350 fr./h), 40 fr. de débours et 7.7% de TVA ; - note du 12 janvier 2024 : 2h30 à 400 fr./h, 25 fr. de débours et 7.7% de TVA ; - note du 9 avril 2024 : 12h55 à 400 fr./h et 8.1% de TVA ; - note du 5 juillet 2024 : 0h40 à 400 fr./h et 8.1% de TVA ; - courrier du 13 septembre 2024 : 6h00 à 400 fr.7h et 8.1% de TVA.</w:t>
      </w:r>
    </w:p>
    <w:p>
      <w:r>
        <w:t>- 15 - En l’espèce, les opérations effectuées pour la défense de l’appelant, en première instance, qui totalisent 28h30, peuvent être admises. Compte tenu de la nature et de la complexité juridique de la cause, il convient toutefois de retenir un tarif horaire de 300 fr. et non de 400 fr. comme requis par l’avocat (cf. consid. 3.2.5 supra ; art. 26a al. 3 TFIP [tarif des frais de procédure et indemnités en matière pénale ; BLV 312.03.1]). Les débours annoncés seront remplacés par des débours forfaitaires à hauteur de 5 % des honoraires admis. L’indemnité allouée à Me Arnaud Moutinot (art. 429 al. 3 CPP) doit être fixée, pour les opérations effectuées jusqu’au 31 décembre 2023, à 3’025 fr., soit 2’675 fr. (8h55 x 300 fr.) à titre d’honoraires, 133 fr. (5 % [art. 3bis al. 1 RAJ]) de débours forfaitaires et 216 fr. (7.7 %) de TVA sur le tout (art. 2 al. 3 RAJ ; art. 25 al. 1 LTVA) et, pour les opérations effectuées depuis le 1er janvier 2024, à 6'668 fr. 40, soit 5’875 fr. (19h35 x 300 fr.) à titre d’honoraires, 293 fr. 75 (5 %) de débours forfaitaires, 499 fr. 65 (8.1 %) de TVA sur le tout. L’indemnité totale pour la première instance s’élève ainsi à 9'693 fr. 40, à la charge de l’Etat.</w:t>
      </w:r>
    </w:p>
    <w:p>
      <w:r>
        <w:rPr>
          <w:b/>
        </w:rPr>
        <w:t>E. 5</w:t>
      </w:r>
    </w:p>
    <w:p>
      <w:r>
        <w:t>En définitive l’appel de F.________ doit être admis et le jugement entrepris réformé dans le sens des considérants qui précèdent. Vu l’issue de la cause, l’émolument d’appel, par 1’540 fr. (art. 21 al. 1 et 2 TFIP [tarif des frais de procédure et indemnités en matière pénale du 28 septembre 2010 ; BLV 312.03.1]), sera laissé à la charge de l’Etat (art. 428 al. 1 CPP). F.________, qui obtient gain de cause et qui a agi par l’intermédiaire d’un mandataire professionnel, a droit à une indemnité de l’art. 429 CPP pour la procédure d’appel. A ce titre, son conseil requiert 6h00 d’activité à 400 fr. de l’heure. Cette durée peut être admise. Compte tenu de la nature et de la complexité juridique de la cause, le tarif horaire sera toutefois ramené à 300 francs. C’est donc une indemnité totale de</w:t>
      </w:r>
    </w:p>
    <w:p>
      <w:r>
        <w:t>- 16 - 1'984 fr. 70, débours et TVA compris, qu’il convient d’allouer à Me Arnaud Moutinot (art. 429 al. 3 CPP)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