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PE22.003292 vom 26. April 2022</w:t>
      </w:r>
    </w:p>
    <w:p>
      <w:r>
        <w:t>VD Tribunal cantonal, 2022-04-26, FR</w:t>
      </w:r>
    </w:p>
    <w:p>
      <w:r>
        <w:rPr>
          <w:b/>
        </w:rPr>
        <w:t xml:space="preserve">Quelle: </w:t>
      </w:r>
      <w:r>
        <w:t>https://mcp.opencaselaw.ch/entscheid/vd_gerichte_PE22.003292</w:t>
      </w:r>
    </w:p>
    <w:p>
      <w:r>
        <w:t>FR: VD_GERICHTE PE22.003292 du 26 avril 2022</w:t>
      </w:r>
    </w:p>
    <w:p>
      <w:r>
        <w:t>IT: VD_GERICHTE PE22.003292 del 26 aprile 2022</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w:t>
      </w:r>
    </w:p>
    <w:p>
      <w:r>
        <w:rPr>
          <w:b/>
        </w:rPr>
        <w:t>E. 2</w:t>
      </w:r>
    </w:p>
    <w:p>
      <w:r>
        <w:t>p. 4 et 5). Il est donc loin d’être exclu qu’il ait proféré les propos litigieux. La recourante prétend qu’un témoin, P.________, a assisté à ces échanges téléphoniques, puisqu’ils étaient sur haut-parleurs et que celui-ci était présent à côté d’elle durant les conversations en cause. M.________ a également indiqué que sa mère était à côté de lui lors des discussions par téléphone (PV aud. 2 p. 3). Il semble ainsi qu’un ou deux témoins pourraient apporter des éléments utiles à l’enquête, ce qui permettrait d’établir les faits qui pourraient être constitutifs de menaces, comme on le verra (cf. infra consid. 3). Compte tenu du principe in dubio pro duriore, le prononcé d’une ordonnance de non-entrée en matière n’était pas justifié.</w:t>
      </w:r>
    </w:p>
    <w:p>
      <w:r>
        <w:rPr>
          <w:b/>
        </w:rPr>
        <w:t>E. 2.1</w:t>
      </w:r>
    </w:p>
    <w:p>
      <w:r>
        <w:t>La recourante invoque d’abord la violation du principe in dubio pro duriore. Elle reproche au Ministère public de ne pas avoir pris en considération la réputation de M.________ au sein de la Commune de B.________ ni ses antécédents, alors qu’il serait connu pour imposer sa volonté et ses idées et qu’il n’hésiterait pas à adopter des comportements agressifs contre ses opposants ; elle relève à cet égard qu’il a admis avoir le sang chaud. Elle soutient que l’audition de P.________, qui était présent lors des deux conversations téléphoniques problématiques, aurait permis d’apporter des éléments susceptibles de renforcer la qualité des propos menaçants de M.________, à tout le moins d’éclaircir les faits et leur portée juridique. La preuve de la culpabilité aurait donc pu être apportée, de sorte que le Ministère public n’aurait pas dû rendre une ordonnance de non-entrée en matière.</w:t>
      </w:r>
    </w:p>
    <w:p>
      <w:r>
        <w:rPr>
          <w:b/>
        </w:rPr>
        <w:t>E. 2.2</w:t>
      </w:r>
    </w:p>
    <w:p>
      <w:r>
        <w:t>Conformément à l’art. 310 al. 1 CPP, le Ministère public rend immédiatement une ordonnance de non-entrée en matière s’il ressort de</w:t>
      </w:r>
    </w:p>
    <w:p>
      <w:r>
        <w:t>- 4 -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En l’espèce, si le prévenu conteste la teneur des propos rapportés, il admet avoir demandé à la recourante d’arrêter ce qu’il considérait être une attaque envers sa personne, publiée sur un site internet politique, car cela allait « lui péter à la gueule » ; il aurait alors</w:t>
      </w:r>
    </w:p>
    <w:p>
      <w:r>
        <w:t>- 5 - employé un ton « sec et carré » et admet avoir « le sang chaud » (PV aud.</w:t>
      </w:r>
    </w:p>
    <w:p>
      <w:r>
        <w:rPr>
          <w:b/>
        </w:rPr>
        <w:t>E. 3.1</w:t>
      </w:r>
    </w:p>
    <w:p>
      <w:r>
        <w:t>La recourante soutient que le comportement en cause serait constitutif de l’infraction de menaces. Elle expose que les propos tenus par M.________ tendaient à l’effrayer afin de la contraindre de cesser son mouvement référendaire, de retirer son référendum ou, à tout le moins, de renoncer à prendre des mesures légales contre le nouveau taux d’imposition communal pour l’année 2022. Il aurait ainsi menacé la recourante, active en politique au sein de la Commune, de porter atteinte à sa sphère sociale, soit à sa réputation et à son intégrité, ce qui constituerait une menace grave et ciblée, d’autant que le prénommé est Premier citoyen de la Commune et qu’ils sont tous deux voisins. Elle aurait ainsi été effrayée, ce que toute personne raisonnable placée dans les mêmes circonstances qu’elle aurait été.</w:t>
      </w:r>
    </w:p>
    <w:p>
      <w:r>
        <w:rPr>
          <w:b/>
        </w:rPr>
        <w:t>E. 3.2.1</w:t>
      </w:r>
    </w:p>
    <w:p>
      <w:r>
        <w:t>Aux termes de l’art. 180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w:t>
      </w:r>
    </w:p>
    <w:p>
      <w:r>
        <w:t>- 6 - comme dépendante de la volonté de l’auteur, sans toutefois qu’il soit nécessaire que cette dépendance soit effective (ATF 117 IV 445 consid. 2b),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 TF 6B_508/2021 du 14 janvier 2022 consid. 2.1).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6B_135/2021 du 27 septembre 2021 consid. 3.1). Subjectivement, l'auteur doit avoir l'intention non seulement de proférer des menaces graves, mais aussi d'alarmer ou d'effrayer le destinataire. Le dol éventuel suffit (TF 6B_135/2021 du 27 septembre 2021 consid. 3.1 ; TF 6B_1314/2018 du 29 janvier 2019 consid. 3.2.1 ; TF 6B_787/2018 du 1er octobre 2018 consid. 3.1).</w:t>
      </w:r>
    </w:p>
    <w:p>
      <w:r>
        <w:rPr>
          <w:b/>
        </w:rPr>
        <w:t>E. 3.2.2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(ATF 120 IV 17 consid. 2a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Sur le plan subjectif, il faut que l'auteur ait agi intentionnellement, c'est-à-dire qu'il ait voulu contraindre la victime à adopter le comportement visé en étant conscient de l'illicéité de son</w:t>
      </w:r>
    </w:p>
    <w:p>
      <w:r>
        <w:t>- 7 - comportement ; le dol éventuel suffit (ATF 120 IV 17 consid. 2c ; TF 1B_481/2021 du 4 novembre 2021 consid. 2.4.2 ; TF 6B_406/2020 du 20 août 2020 consid. 2.1).</w:t>
      </w:r>
    </w:p>
    <w:p>
      <w:r>
        <w:rPr>
          <w:b/>
        </w:rPr>
        <w:t>E. 3.3</w:t>
      </w:r>
    </w:p>
    <w:p>
      <w:r>
        <w:t>En l’espèce, si les propos rapportés ont bien été tenus, on constate d’abord que son auteur évoque lui-même avoir dit que les actions de la plaignante allaient lui « péter à la gueule ». L’expression « cela va très mal finir pour vous » va dans le même sens. L’auteur admet également avoir usé d’un ton « sec et carré ». Les propos rapportés et le ton employé pourraient constituer une intimidation de la victime, de sorte que le moyen développé par la recourante doit être admis. Le Ministère public se devait donc d’ouvrir une instruction pénale pour menaces. Dans la mesure où la recourante expose dans son acte que les propos formulés par M.________ tendaient à la contraindre de cesser son mouvement référendaire, de retirer son référendum ou, à tout le moins, de renoncer à prendre des mesures légales contre le nouveau taux d’imposition communal pour l’année 2022 (recours, p. 9), il n’est pas exclu que le comportement en cause soit constitutif de tentative de contrainte (art. 22 ad art. 181 CP).</w:t>
      </w:r>
    </w:p>
    <w:p>
      <w:r>
        <w:rPr>
          <w:b/>
        </w:rPr>
        <w:t>E. 4</w:t>
      </w:r>
    </w:p>
    <w:p>
      <w:r>
        <w:t>Au vu de ce qui précède, le recours doit être admis et l’ordonnance attaquée annulée. Le dossier de la cause sera renvoyé au Ministère public de l’arrondissement de La Côte pour qu’il procède dans le sens des considérants qui précèdent. Vu l’issue de la cause, les frais d’arrêt, par 880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w:t>
      </w:r>
    </w:p>
    <w:p>
      <w:r>
        <w:t>- 8 - procédure de recours. Au vu du mémoire produit et de la nature de la cause, la durée d’activité nécessaire peut être estimée à 3 heures au tarif horaire de 300 fr., ce qui correspond à 900 fr., auxquels il convient d’ajouter des débours forfaitaires à concurrence de 2 % (art. 19 al. 2 TDC [tarif des dépens en matière civile du 23 novembre 2010 ; BLV 270.11.6], applicable par renvoi de l’art. 26a al. 6 TFIP), par 18 fr., plus un montant correspondant à la TVA, par 70 fr. 70. L’indemnité qui doit être allouée à Z.________ s’élève donc à 989 fr. au total (en chiffres arrondis), à la charge de l’Etat. Par ces motifs, la Chambre des recours pénale prononce : I. Le recours est admis. II. L’ordonnance du 16 mars 2022 est annulée. III. Le dossier de la cause est renvoyé au Ministère public de l’arrondissement de La Côte pour qu’il procède dans le sens des considérants. IV. Les frais d’arrêt, par 880 fr. (huit cent huitante francs), sont laissés à la charge de l’Etat. V. Une indemnité de 989 fr. (neuf cent huitante-neuf francs) est allouée à la recourante Z.________ pour l’exercice raisonnable de ses droits dans la procédure de recours, à la charge de l’Etat. VI. L’arrêt est exécutoire. La présidente : La greffière :</w:t>
      </w:r>
    </w:p>
    <w:p>
      <w:r>
        <w:t>- 9 - Du Le présent arrêt, dont la rédaction a été approuvée à huis clos, est notifié, par l'envoi d'une copie complète, à : - Me Mathilde Bessonnet, avocate (pour Z.________),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