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PE22.003256 vom 28. April 2023</w:t>
      </w:r>
    </w:p>
    <w:p>
      <w:r>
        <w:t>VD Tribunal cantonal, 2023-04-28, FR</w:t>
      </w:r>
    </w:p>
    <w:p>
      <w:r>
        <w:rPr>
          <w:b/>
        </w:rPr>
        <w:t xml:space="preserve">Quelle: </w:t>
      </w:r>
      <w:r>
        <w:t>https://mcp.opencaselaw.ch/entscheid/vd_gerichte_PE22.003256</w:t>
      </w:r>
    </w:p>
    <w:p>
      <w:r>
        <w:t>FR: VD_GERICHTE PE22.003256 du 28 avril 2023</w:t>
      </w:r>
    </w:p>
    <w:p>
      <w:r>
        <w:t>IT: VD_GERICHTE PE22.003256 del 28 aprile 2023</w:t>
      </w:r>
    </w:p>
    <w:p>
      <w:pPr>
        <w:pStyle w:val="Heading2"/>
      </w:pPr>
      <w:r>
        <w:t>Volltext</w:t>
      </w:r>
    </w:p>
    <w:p>
      <w:r>
        <w:t>TRIBUNAL CANTONAL 337 PE22.003256-LCI CHAMBRE DE S RECO URS PEN ALE __________________________________________ Arrêt du 28 avril 2023 __________________ Composition : Mme BYRDE, présidente MM. Krieger et Perrot, juges Greffière : Mme Japona-Mirus ***** Art. 385 CPP Statuant sur le recours interjeté le 20 avril 2023 par N.________ contre l'ordonnance de suspension signalement rendue le 3 avril 2023 par le Ministère public cantonal Strada dans la cause n° PE22.003256-LCI, la Chambre des recours pénale considère : En fait : A. Une instruction pénale est ouverte devant le Ministère public cantonal Strada contre K.________ pour brigandage, ensuite de la plainte pénale déposée par N.________, et pour infraction à la loi fédérale sur les étrangers et l'intégration, infraction et contravention à la loi fédérale sur les stupéfiants. 351</w:t>
      </w:r>
    </w:p>
    <w:p>
      <w:r>
        <w:t>- 2 - B. Par ordonnance du 3 avril 2023, constatant que K.________, dont le lieu de séjour était inconnu, n'avait pas pu être atteint, malgré un signalement auprès des organes de police, le Ministère public a, notamment, suspendu la procédure pénale pour une durée indéterminée. C. Le 20 avril 2023, N.________ a adressé une lettre intitulée « Recours à l’ordonnance de suspension » au Ministère public, qui l’a transmise à la Chambre des recours pénale comme objet de sa compétence. Il n’a pas été ordonné d’échange d’écritures. En d roit : 1. 1.1 Une ordonnance de suspension rendue par le Ministère public est susceptible de recours (cf. art. 393 al. 1 let. a et 314 al. 5 cum art. 320 ss CPP).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- 3 -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Donatsch/Lieber/Summers/ Wohlers [éd.], op. cit. n. 2 ad art. 385 CPP). Ainsi, il doit indiquer dans quelle mesure et sous quel angle il entend critiquer l’établissement des faits ou l’application du droit (Calame, in :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w:t>
      </w:r>
    </w:p>
    <w:p>
      <w:r>
        <w:t>- 4 - septembre 2019 consid. 3.2.2 ; TF 1B_232/2017 du 19 juillet 2017 consid. 2.4.3 ; TF 6B_347/2016 du 10 février 2017 consid. 4.1 ; TF 1B_363/2014 du 7 janvier 2015 consid. 2.1 et les réf. citées). 1.3 En l'espèce, dans sa lettre intitulée « Recours à l’ordonnance de suspension », N.________ présente plusieurs réquisitions, qui n’ont pas de lien avec l’ordonnance visée. Il n’y a aucun exposé, même succinct, qui s’en prenne à la motivation de l’ordonnance attaquée. Autrement dit, le recourant n’explique pas en quoi, selon lui, les motifs sur lesquels le Ministère public a fondé sa décision seraient erronés, respectivement les raisons pour lesquelles il ne devrait pas suspendre la procédure en application de l’art. 314 al. 1 let. a CPP. Le recours ne satisfait dès lors pas aux exigences de motivation de l’art. 385 CPP. Un tel défaut de motivation ne saurait justifier qu'un délai supplémentaire soit fixé au recourant pour compléter son acte en application de l'art. 385 al. 2 CPP. 2. Il résulte de ce qui précède que le recours doit être déclaré irrecevable, sans échange d’écritures (art. 390 al. 2 CPP). Les frais de la procédure de recours, par 440 fr., seront exceptionnellement laissés à la charge de l'Etat (art. 423 al. 1 CPP). Par ces motifs, la Chambre des recours pénale prononce : I. Le recours est irrecevable. II. Les frais d'arrêt, par 440 fr. (quatre cent quarante francs), sont laissés à la charge de l'Etat. III. L’arrêt est exécutoire.</w:t>
      </w:r>
    </w:p>
    <w:p>
      <w:r>
        <w:t>- 5 - La présidente : La greffière : Du Le présent arrêt, dont la rédaction a été approuvée à huis clos, est notifié, par l'envoi d'une copie complète, à : - Me Marc Cheseaux, avocat (pour K.________), - M. N.________, - Ministère public central ; et communiqué à : - Mme la Procureure cantonale Strada, - Service de la population, - Service pénitentiaire – Bureau des séquestres,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