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PE22.003037 vom 19. August 2022</w:t>
      </w:r>
    </w:p>
    <w:p>
      <w:r>
        <w:t>VD Tribunal cantonal, 2022-08-19, FR</w:t>
      </w:r>
    </w:p>
    <w:p>
      <w:r>
        <w:rPr>
          <w:b/>
        </w:rPr>
        <w:t xml:space="preserve">Quelle: </w:t>
      </w:r>
      <w:r>
        <w:t>https://mcp.opencaselaw.ch/entscheid/vd_gerichte_PE22.003037</w:t>
      </w:r>
    </w:p>
    <w:p>
      <w:r>
        <w:t>FR: VD_GERICHTE PE22.003037 du 19 août 2022</w:t>
      </w:r>
    </w:p>
    <w:p>
      <w:r>
        <w:t>IT: VD_GERICHTE PE22.003037 del 19 agosto 2022</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L’art. 396 al. 1 CPP prévoit que le recours contre les décisions notifiées par écrit ou oralement est motivé et adressé par écrit, dans le délai de dix jours, à l’autorité de recours. Selon l’art. 110 al. 1 CPP, les requêtes écrites doivent être datées et signées. La signature doit être manuscrite au sens de l’art. 14 CO (Code des obligations du 30 mars</w:t>
      </w:r>
    </w:p>
    <w:p>
      <w:r>
        <w:t>- 4 - 1911 ; RS 220). L’acte sur lequel la signature n’est que reproduite (photocopie, facsimilé) n’est pas valable (ATF 121 II 252). En dehors de la transmission par voie électronique avec une signature électronique valable (art. 110 al. 2 CPP), un simple courriel ne satisfait pas à la forme écrite (TF 6B_401/2016 du 28 novembre 2016 consid. 2.1). D’après la jurisprudence du Tribunal fédéral rendue en matière de procédure pénale, dans les cas où la loi exige le respect de la forme écrite, l'acte en cause doit être transmis par écrit, daté et signé (ATF 145 IV 190 consid. 1.3.2, JdT 2019 IV 296; ATF 142 IV 299 consid. 1.1 et les références citées, JdT 2017 IV 91 ; TF 1B_456/2020 du 8 octobre 2020 consid. 2 ; cf. aussi TF 6B_1048/2019 du 28 janvier 2020 consid. 1.2). De jurisprudence constante, quand la loi fait référence à la forme écrite, elle suppose le respect des exigences posées à l’art. 14 al. 1 CO (Code des obligations du 30 mars 1911 ; RS 220), à savoir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2e éd., 2019, nn. 7 et 8 ad art. 110 CPP). A défaut de signature, la direction de la procédure peut impartir un délai au recourant pour corriger le vice. Faute de réparation dans le délai imparti, il n’est pas entré en matière sur le recours (art. 110 al. 4 CPP ; ATF 142 I 10 consid. 2.4 ; CREP</w:t>
      </w:r>
    </w:p>
    <w:p>
      <w:r>
        <w:rPr>
          <w:b/>
        </w:rPr>
        <w:t>E. 1.3</w:t>
      </w:r>
    </w:p>
    <w:p>
      <w:r>
        <w:t>En l’espèce, la recourante, qui a réceptionné le pli recommandé contenant l’avis de la direction de la procédure le 12 juillet 2022, n’a pas donné suite à la demande de mise en conformité dans le délai fixé. Le vice de l’acte conduit au constat de son irrecevabilité.</w:t>
      </w:r>
    </w:p>
    <w:p>
      <w:r>
        <w:rPr>
          <w:b/>
        </w:rPr>
        <w:t>E. 2</w:t>
      </w:r>
    </w:p>
    <w:p>
      <w:r>
        <w:t>Il résulte de ce qui précède que le recours, faute de satisfaire aux exigences de la forme écrite, doit être déclaré irrecevable. Les frais de la procédure de recours, constitués du seul émolument d’arrêt (art. 422 al. 1 CPP), par 550 fr. (art. 20 al. 1 TFIP [tarif</w:t>
      </w:r>
    </w:p>
    <w:p>
      <w:r>
        <w:t>- 5 - des frais de procédure et indemnités en matière pénale du 28 septembre 2010 ; BLV 312.03.1]), seront laissés à la charge de l’Etat. En effet, faute de signature, il n’est pas possible de savoir si K.________ en est bien l’auteur, de sorte que les frais ne peuvent pas être mis à la charge de celle-ci, ou à la charge de W.________ qu’elle prétendait représenter seule. Par ces motifs, la Chambre des recours pénale prononce : I. Le recours est irrecevable. II. Les frais d’arrêt, par 550 fr. (cinq cent cinquante francs), sont laissés à la charge de l’Etat. III. L’arrêt est exécutoire. La présidente : La greffière : Du Le présent arrêt, dont la rédaction a été approuvée à huis clos, est notifié, par l'envoi d'une copie complète, à : - Mme K.________, - W.________ (c/o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