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PE22.002226 vom 25. November 2022</w:t>
      </w:r>
    </w:p>
    <w:p>
      <w:r>
        <w:t>VD Tribunal cantonal, 2022-11-25, FR</w:t>
      </w:r>
    </w:p>
    <w:p>
      <w:r>
        <w:rPr>
          <w:b/>
        </w:rPr>
        <w:t xml:space="preserve">Quelle: </w:t>
      </w:r>
      <w:r>
        <w:t>https://mcp.opencaselaw.ch/entscheid/vd_gerichte_PE22.002226</w:t>
      </w:r>
    </w:p>
    <w:p>
      <w:r>
        <w:t>FR: VD_GERICHTE PE22.002226 du 25 novembre 2022</w:t>
      </w:r>
    </w:p>
    <w:p>
      <w:r>
        <w:t>IT: VD_GERICHTE PE22.002226 del 25 novembre 2022</w:t>
      </w:r>
    </w:p>
    <w:p>
      <w:pPr>
        <w:pStyle w:val="Heading2"/>
      </w:pPr>
      <w:r>
        <w:t>Erwägungen</w:t>
      </w:r>
    </w:p>
    <w:p>
      <w:r>
        <w:rPr>
          <w:b/>
        </w:rPr>
        <w:t>E. 1</w:t>
      </w:r>
    </w:p>
    <w:p>
      <w:r>
        <w:t>X.________, célibataire, est né le [...] 2002. Il est actuellement [...]. Il habite chez ses parents qui subviennent intégralement à son entretien. Il n’a ni fortune ni dettes. Son casier judiciaire comporte une condamnation, le 9 avril 2021, par le Ministère public de l’arrondissement de l’Est vaudois, à 30 jours-amende à 30 fr. le jour, avec sursis pendant 3 ans, et à une amende de 300 fr., pour accompagnement non autorisé d’une course d’apprentissage. L’extrait SIAS (Système d'information relatif à l'admission à la circulation) mentionne un retrait de permis d’élève conducteur pendant 3 mois selon décision du 22 mars 2021.</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w:t>
      </w:r>
    </w:p>
    <w:p>
      <w:r>
        <w:t>- 5 -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1er juillet 2013 consid. 6).</w:t>
      </w:r>
    </w:p>
    <w:p>
      <w:r>
        <w:rPr>
          <w:b/>
        </w:rPr>
        <w:t>E. 3.1</w:t>
      </w:r>
    </w:p>
    <w:p>
      <w:r>
        <w:t>L'appelant conteste le type et la quotité de la peine. Il fait valoir qu'au vu des éléments à charge et surtout à décharge retenus par le premier juge, la peine est disproportionnée. Il rappelle que la route, dont les deux voies sont séparées par une ligne blanche continue, est parfaitement rectiligne à cet endroit et s'apparente plus à une route cantonale qu'à une route urbaine. Il compare son cas à celui qui a fait l'objet de l'arrêt CAPE no 138 du 9 mai 2022, où une peine de 180 jours- amende a été prononcée. Il invoque aussi les interventions parlementaires tendant à revoir la peine plancher des cas Via Sicura. Certes, celle-ci est toujours en vigueur mais il ne faudrait pas fixer la peine pour un cas qui ne relève pas de l'art. 90 al. 3 LCR (loi fédérale sur la circulation routière du 19 décembre 1958 ; RS 731.01) en ayant à l'esprit la peine minimale de cette disposition. En l'espèce, en baissant d'un seul mois la quotité de la peine, une peine pécuniaire redevient possible et doit être prononcée, puisque constituant la règle. La révocation du précédent sursis suffit du point de vue de la prévention spéciale. Bien qu'étudiant, l’appelant entend assumer lui-même la charge de sa peine en trouvant un job d'étudiant durant ses vacances, par exemple.</w:t>
      </w:r>
    </w:p>
    <w:p>
      <w:r>
        <w:rPr>
          <w:b/>
        </w:rPr>
        <w:t>E. 3.2</w:t>
      </w:r>
    </w:p>
    <w:p>
      <w:r>
        <w:t>; ATF 144 IV 313 consid. 1.1.1 ; ATF 137 Il 297 consid. 2.3.4 ; TF 6B_792/2021 du 14 février 2022 consid. 1.1). L'arrêt de la Cour d’appel pénale invoqué par l’appelant concerne un prévenu sans antécédent qui a commis un excès de vitesse important mais « pas Via Sicura ». La Cour a réduit la peine privative de liberté à 180 jours-amende.</w:t>
      </w:r>
    </w:p>
    <w:p>
      <w:r>
        <w:rPr>
          <w:b/>
        </w:rPr>
        <w:t>E. 3.3</w:t>
      </w:r>
    </w:p>
    <w:p>
      <w:r>
        <w:t>En l'espèce, le premier juge a retenu que la culpabilité du prévenu était importante car l'excès de vitesse était « à deux doigts » d'un cas Via Sicura et en rien justifié, le prévenu ayant roulé vite uniquement pour qu'un ami puisse prendre un train. A décharge, il a pris en considération les excuses et regrets exprimés, le fait que le prévenu avait « pris totalement conscience » du danger créé et qu'il semblait « un garçon responsable, intelligent et qui assum[ait] les erreurs graves commises », mais aussi « un étudiant appliqué, promis à un bel avenir ». En localité, soit lorsque la vitesse est limitée à 50 km/h, un dépassement de 50 km/h et plus est un cas Via Sicura. Hors localité, soit lorsque la vitesse est limitée (généralement) à 80 km/h, les Recommandations de la Conférence des Procureurs de Suisse préconisent, pour un dépassement de 50 à 59 km/h, une peine pécuniaire de 120 jours- amende au moins, en l'absence d'antécédents. On est un peu à la limite de ces deux situations. L'excès est effectivement grave, mais le prévenu n'a pas d'antécédent important, celui pour une course non autorisée n’étant pas comparable. Le prévenu ne conteste ni les faits ni la qualification et a immédiatement reconnu ses torts. Il a fait manifestement bonne impression en première instance. Dans ces circonstances favorables, la peine privative de liberté prononcée sera muée en une peine pécuniaire. Celle-ci sera fixée à 180 jours-amende compte tenu de la gravité des faits. La quotité du jour- amende sera la même que celle retenue le 9 avril 2021, soit 30 francs. L’exécution de la peine pécuniaire sera suspendue pendant 3 ans, dès lors qu’une peine ferme ne paraît, à ce stade, pas nécessaire pour détourner</w:t>
      </w:r>
    </w:p>
    <w:p>
      <w:r>
        <w:t>- 8 - l’appelant de la commission d’autres délits, vu notamment la révocation d’un précédent sursis.</w:t>
      </w:r>
    </w:p>
    <w:p>
      <w:r>
        <w:rPr>
          <w:b/>
        </w:rPr>
        <w:t>E. 4</w:t>
      </w:r>
    </w:p>
    <w:p>
      <w:r>
        <w:t>Il résulte de ce qui précède que l’appel doit être admis et le jugement entrepris réformé en ce sens que X.________ est condamné à une peine pécuniaire de 180 jours-amende à 30 fr. le jour, avec sursis pendant 3 ans. Les frais d’appel, par 770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