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PE22.002193 vom 1. Dezember 2022</w:t>
      </w:r>
    </w:p>
    <w:p>
      <w:r>
        <w:t>VD Tribunal cantonal, 2022-12-01, FR</w:t>
      </w:r>
    </w:p>
    <w:p>
      <w:r>
        <w:rPr>
          <w:b/>
        </w:rPr>
        <w:t xml:space="preserve">Quelle: </w:t>
      </w:r>
      <w:r>
        <w:t>https://mcp.opencaselaw.ch/entscheid/vd_gerichte_PE22.002193</w:t>
      </w:r>
    </w:p>
    <w:p>
      <w:r>
        <w:t>FR: VD_GERICHTE PE22.002193 du 1 décembre 2022</w:t>
      </w:r>
    </w:p>
    <w:p>
      <w:r>
        <w:t>IT: VD_GERICHTE PE22.002193 del 1 dicembre 2022</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auprès de l’autorité compétente, par une partie qui a la qualité pour recourir (art. 382 al. 1 CPP).</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- 4 -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 les conclusions du recours doivent tendre à la modification, respectivement à l’annulation de l’un ou de plusieurs chiffres du dispositif (Keller, in : Donatsch/Lieber/Summers/Wohlers [édit.], Zürcher Kommentar, Kommentar zur Schweizerischen Strafprozessordnung, 3e éd. 2020, n. 13a ad art. 396 StPO et les références citées ; Ziegler/Keller, in : Niggli/Heer/Wiprächtiger [édit.], Basler Kommentar, Schweizerische Strafprozessordnung, Jugendstrafprozessordnung, Art. 196-457 StPO – Art. 1-54 JStPO, 2e éd., Bâle 2014, n. 1a ad art. 385 CP).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in : Donatsch et alii, op. cit., n. 2 ad art. 385 CPP). Ainsi, il doit indiquer dans quelle mesure et sous quel angle il entend, notamment, critiquer l’établissement des faits ou l’application du droit (Calame, in : Jeanneret/Kuhn/Perrier Depeursinge [édit.], Code de procédure pénale suisse, Commentaire romand, 2e éd., Bâle 2019, n. 20 ad art. 385 CPP).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w:t>
      </w:r>
    </w:p>
    <w:p>
      <w:r>
        <w:t>- 5 -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 citées).</w:t>
      </w:r>
    </w:p>
    <w:p>
      <w:r>
        <w:rPr>
          <w:b/>
        </w:rPr>
        <w:t>E. 2.2</w:t>
      </w:r>
    </w:p>
    <w:p>
      <w:r>
        <w:t>En l’espèce, le recours de L.________ est très confus et, peu compréhensible. Le recourant ne développe aucun argument – factuel ou juridique – en lien avec la motivation du Ministère public s’agissant du refus de lui désigner un défenseur d’office. Ce faisant, il ne donne pas d’argumentation topique, notamment au sujet du fait que la cause ne présente pas de difficulté particulière en fait et en droit. Les conditions posées par l’art. 385 al. 1 CPP ne sont dès lors manifestement pas réalisées et le recours doit être déclaré irrecevable pour défaut de motivation. Au vu de la jurisprudence précitée, il n’y a pas lieu d’appliquer l’art. 385 al. 2 CPP.</w:t>
      </w:r>
    </w:p>
    <w:p>
      <w:r>
        <w:rPr>
          <w:b/>
        </w:rPr>
        <w:t>E. 3</w:t>
      </w:r>
    </w:p>
    <w:p>
      <w:r>
        <w:t>Les frais de la procédure de recours, par 550 fr. (art. 20 al. 1 TFIP [tarif des frais de procédure et indemnités en matière pénale du 28 septembre 2010 ; BLV 312.03.1), seront mis à la charge du recourant, qui est réputé avoir succombé (art. 428 al. 1, 2e phrase CPP). Par ces motifs, la Chambre des recours pénale prononce : I. Le recours est irrecevable. II. Les frais d’arrêt, par 550 fr. (cinq cent cinquante francs), sont mis à la charge de L.________. III. L’arrêt est exécutoire.</w:t>
      </w:r>
    </w:p>
    <w:p>
      <w:r>
        <w:t>- 6 - La présidente : La greffière : Du Le présent arrêt, dont la rédaction a été approuvée à huis clos, est notifié, par l'envoi d'une copie complète, à : - M. L.________, - Ministère public cantonal, et communiqué à : - M. le Procureur public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