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PE22.002139 vom 28. Februar 2022</w:t>
      </w:r>
    </w:p>
    <w:p>
      <w:r>
        <w:t>VD Tribunal cantonal, 2022-02-28, FR</w:t>
      </w:r>
    </w:p>
    <w:p>
      <w:r>
        <w:rPr>
          <w:b/>
        </w:rPr>
        <w:t xml:space="preserve">Quelle: </w:t>
      </w:r>
      <w:r>
        <w:t>https://mcp.opencaselaw.ch/entscheid/vd_gerichte_PE22.002139</w:t>
      </w:r>
    </w:p>
    <w:p>
      <w:r>
        <w:t>FR: VD_GERICHTE PE22.002139 du 28 février 2022</w:t>
      </w:r>
    </w:p>
    <w:p>
      <w:r>
        <w:t>IT: VD_GERICHTE PE22.002139 del 28 febbraio 2022</w:t>
      </w:r>
    </w:p>
    <w:p>
      <w:pPr>
        <w:pStyle w:val="Heading2"/>
      </w:pPr>
      <w:r>
        <w:t>Erwägungen</w:t>
      </w:r>
    </w:p>
    <w:p>
      <w:r>
        <w:rPr>
          <w:b/>
        </w:rPr>
        <w:t>E. 3</w:t>
      </w:r>
    </w:p>
    <w:p>
      <w:r>
        <w:t>; ATF 143 IV 168 consid. 5.1 ; ATF 139 IV 270 consid. 3.1 ; TF 1B_549/2021 du 21 octobre 2021 consid. 5.1).</w:t>
      </w:r>
    </w:p>
    <w:p>
      <w:r>
        <w:rPr>
          <w:b/>
        </w:rPr>
        <w:t>E. 3.3</w:t>
      </w:r>
    </w:p>
    <w:p>
      <w:r>
        <w:t>En l’espèce, le recourant est mis en accusation pour lésions corporelles simples, menaces, rupture de ban, conduite en présence d’un taux d’alcool qualifié dans l’haleine et en incapacité de conduire, vol d’usage d’un véhicule automobile et conduite d’un véhicule automobile sans autorisation. Par courrier du 18 février 2022, il a indiqué qu’il n’avait pas de réquisition de preuve à formuler et il apparaît que la matérialité des faits est pour l’essentiel admise, le recourant tentant uniquement de minimiser son implication dans l’altercation qui l’a opposé à l’agent de sécurité du Club « [...] ». A cet égard, dès lors qu’il est mis en cause par un témoin pour avoir refusé de montrer son certificat Covid et sa pièce d’identité, puis pour avoir poussé en premier l’agent de sécurité des deux mains contre le mur et pour l’avoir frappé à coups de poings au niveau du visage alors que l’agent l’avait immobilisé, c’est à juste titre que le Tribunal des mesures de contrainte a retenu que les soupçons portés à l’encontre du recourant d’avoir commis les faits qui lui sont reprochés – lesquels sont d’une gravité certaine – étaient à ce stade suffisants pour justifier son placement en détention provisoire, étant précisé qu’il appartiendra au juge du fond de procéder à une pesée complète des éléments à charge et à décharge et d’apprécier la crédibilité des mises en cause dont il fait l’objet. Par ailleurs, le recourant perd de vue qu’il est également mis en accusation pour des infractions à la LCR qui présentent elles aussi un haut degré de gravité dans la mesure où il a notamment conduit un véhicule sans être titulaire du permis requis, sous l’influence de l’alcool et alors qu’il venait de se faire sprayer le visage, comportement qui aurait pu avoir des conséquences dramatiques dès lors qu’il a causé un accident en</w:t>
      </w:r>
    </w:p>
    <w:p>
      <w:r>
        <w:t>- 7 - percutant un véhicule stationné sur une case blanche en bordure de la route. Ainsi, contrairement à ce qu’affirme le recourant, on ne saurait retenir d’emblée qu’il ne s’expose pas à une peine privative de liberté de trois mois pour les faits qui lui sont reprochés. Compte tenu du concours d’infractions et de ses antécédents, il y a au contraire lieu de considérer que la durée de la détention provisoire que le recourant aura subie le</w:t>
      </w:r>
    </w:p>
    <w:p>
      <w:r>
        <w:rPr>
          <w:b/>
        </w:rPr>
        <w:t>E. 6</w:t>
      </w:r>
    </w:p>
    <w:p>
      <w:r>
        <w:t>mai 2022 ne dépassera pas la peine à laquelle il doit s’attendre concrètement en cas de condamnation. Le principe de la proportionnalité est donc pleinement respecté à cet égard. Enfin, la durée litigieuse de trois mois n’apparaît pas exagérée pour permettre au Ministère public d’engager l’accusation devant le tribunal compétent à l’issue du délai de prochaine clôture, fixé au 18 février 2022. 4. 4.1 Le recourant soutient, dans sa conclusion subsidiaire, que des mesures de substitution à forme de son assignation à résidence auprès de sa fille et de la mère de celle-ci, du dépôt de ses papiers d’identité auprès d’une autorité et de l’obligation de se présenter à un poste de police permettraient de pallier le risque de fuite retenu. 4.2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w:t>
      </w:r>
    </w:p>
    <w:p>
      <w:r>
        <w:t>- 8 -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4.3 La Chambre de céans considère, à l’instar du premier juge, que les mesures de substitution proposées par le recourant ne sont pas susceptibles de prévenir efficacement le risque de fuite constaté et qu’aucune autre mesure n’est à même de le pallier valablement. En effet, en l’absence de contrôles systématiques aux frontières, la confiscation de ses documents d’identité ne permettrait pas de l’empêcher de fuir dans un pays limitrophe, en particulier en Italie, où il séjourne habituellement. Quant à son assignation à résidence chez sa fille et à l’obligation de se présenter auprès d’un poste de police suisse, ces mesures seraient tout au plus susceptibles de permettre une réaction plus rapide des autorités, non de l’empêcher de tomber dans la clandestinité ou de fuir, étant rappelé que le recourant, ressortissant nigérian domicilié en Italie, est connu sous neuf identités différentes en Suisse, pays dans</w:t>
      </w:r>
    </w:p>
    <w:p>
      <w:r>
        <w:t>- 9 - lequel il se trouve de surcroît en situation illégale et sous le coup d’une expulsion judiciaire exécutoire. Celui-ci s’expose en outre à la révocation du sursis qui lui a été octroyé le 21 août 2019 par le Tribunal correctionnel de l’arrondissement de Lausanne et à l’exécution d’une peine privative de liberté de seize mois à ce titre. Compte tenu de ce qui précède, aucune des mesures de substitution proposées par le recourant n’apparaît en l’état apte à prévenir efficacement le risque de fuite retenu et la Chambre de céans ne voit pas à ce stade d’autre mesure de substitution susceptible de constituer une garantie suffisante à cet égard compte tenu de la probabilité qu’il cherche à se soustraire à la justice, à tout le moins en entrant dans la clandestinité. 5. 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d’Y.________ sera fixée à 360 fr., correspondant à une activité nécessaire d’avocat de deux heures au tarif horaire de 180 fr., montant auquel il convient d’ajouter des débours forfaitaires à concurrence de 2 % (art. 3bis al. 1 RAJ [règlement du</w:t>
      </w:r>
    </w:p>
    <w:p>
      <w:r>
        <w:rPr>
          <w:b/>
        </w:rPr>
        <w:t>E. 7</w:t>
      </w:r>
    </w:p>
    <w:p>
      <w:r>
        <w:t>décembre 2010 sur l'assistance judiciaire en matière civile ; BLV 211.02.3], applicable par renvoi de l’art. 26b TFIP [tarif des frais de procédure et indemnités en matière pénale du 28 septembre 2010 ; BLV 312.03.1]), par 7 fr. 20, plus la TVA au taux de 7,7 %, par 28 fr. 25, soit à 396 fr. au total en chiffres arrondis. Vu le sort du recours, les frais de la procédure, constitués en l’espèce de l’émolument d'arrêt, par 990 fr. (art. 20 al. 1 TFIP), et des frais imputables à la défense d’office d’Y.________ (art. 422 al. 1 et 2 let. a CPP), fixés à 396 fr., seront mis à la charge du recourant, qui succombe (art. 428 al. 1 CPP).</w:t>
      </w:r>
    </w:p>
    <w:p>
      <w:r>
        <w:t>- 10 -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9 février 2022 est confirmée. III. L’indemnité allouée au défenseur d’office d’Y.________ est fixée à 396 fr. (trois cent nonante-six francs). IV. Les frais d’arrêt, par 990 fr. (neuf cent nonante francs), ainsi que l’indemnité due au défenseur d’office du recourant, par 396 fr. (trois cent nonante-six francs), sont mis à la charge d’Y.________. V. Le remboursement à l’Etat de l’indemnité allouée au chiffre III ci-dessus ne sera exigible que pour autant que la situation financière d’Y.________ le permette. VI. L’arrêt est exécutoire. La présidente : La greffière : Du Le présent arrêt, dont la rédaction a été approuvée à huis clos, est notifié, par l'envoi d'une copie complète, à : - Me Romain Kramer, avocat (pour Y.________), - Ministère public central,</w:t>
      </w:r>
    </w:p>
    <w:p>
      <w:r>
        <w:t>- 11 - et communiqué à : - Mme la Présidente du Tribunal des mesures de contrainte, - M. le Procureur de l’arrondissement de l’Est vaudois, - M. A.________,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