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PE22.001904 vom 1. Juni 2023</w:t>
      </w:r>
    </w:p>
    <w:p>
      <w:r>
        <w:t>VD Tribunal cantonal, 2023-06-01, FR</w:t>
      </w:r>
    </w:p>
    <w:p>
      <w:r>
        <w:rPr>
          <w:b/>
        </w:rPr>
        <w:t xml:space="preserve">Quelle: </w:t>
      </w:r>
      <w:r>
        <w:t>https://mcp.opencaselaw.ch/entscheid/vd_gerichte_PE22.001904</w:t>
      </w:r>
    </w:p>
    <w:p>
      <w:r>
        <w:t>FR: VD_GERICHTE PE22.001904 du 1 juin 2023</w:t>
      </w:r>
    </w:p>
    <w:p>
      <w:r>
        <w:t>IT: VD_GERICHTE PE22.001904 del 1 giugno 2023</w:t>
      </w:r>
    </w:p>
    <w:p>
      <w:pPr>
        <w:pStyle w:val="Heading2"/>
      </w:pPr>
      <w:r>
        <w:t>Erwägungen</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w:t>
      </w:r>
    </w:p>
    <w:p>
      <w:r>
        <w:t>- 3 - dans le cadre de la procédure préliminaire est ainsi susceptible de recours selon les art. 393 ss CPP (Moreillon/Parein-Reymond, Petit Commentaire du Code de procédure pénale, 2e éd., Bâle 2016, n. 24 ad art. 263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interjeté en temps utile par le prévenu, qui apparaît être le détenteur des objets séquestrés, et qui a un intérêt juridique à l’annulation ou à la modification de l’ordonnance entreprise (art. 382 al. 1 CPP), le recours est recevable.</w:t>
      </w:r>
    </w:p>
    <w:p>
      <w:r>
        <w:rPr>
          <w:b/>
        </w:rPr>
        <w:t>E. 2.1</w:t>
      </w:r>
    </w:p>
    <w:p>
      <w:r>
        <w:t>Le recourant invoque une violation de son droit d’être entendu, au motif que l’ordonnance de séquestre n’est pas motivée. Il se réfère à la jurisprudence de la Chambre des recours pénale rendue en la matière (CREP 4 novembre 2022/820).</w:t>
      </w:r>
    </w:p>
    <w:p>
      <w:r>
        <w:rPr>
          <w:b/>
        </w:rPr>
        <w:t>E. 2.2</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w:t>
      </w:r>
    </w:p>
    <w:p>
      <w:r>
        <w:t>- 4 - celle-ci, l'attaquer en connaissance de cause et afin que l'autorité de recours puisse exercer son contrôle à bon escient (Julen Berthod, in : Jeanneret/Kuhn/Perrier Depeursinge [éd.], Code de procédure pénale suisse, Commentaire romand, 2e éd., Bâle 2019, n. 34 ad art. 263 CPP, avec n. infrapaginale 114). En principe, le défaut de motivation conduit à l'annulation de l'ordonnance et au renvoi du dossier à l'autorité saisie de la cause pour nouvelle décision (CREP 4 novembre 2022/820 consid. 2.2 et 3 ; CREP 4 septembre 2019/720 consid. 2.2; CREP 2 septembre 2019/711 consid. 2.1 et les réf. citées).</w:t>
      </w:r>
    </w:p>
    <w:p>
      <w:r>
        <w:rPr>
          <w:b/>
        </w:rPr>
        <w:t>E. 2.3</w:t>
      </w:r>
    </w:p>
    <w:p>
      <w:r>
        <w:t>En l’espèce, le Ministère public s’est contenté, pour toute motivation, de se référer dans l’ordonnance attaquée aux dispositions légales relatives au séquestre, à savoir l'art. 263 al. 1 let. a, b, c et d CPP, sans indiquer, même succinctement, en quoi les conditions légales de ces cas de séquestre seraient réunies. Or, la seule référence à la norme légale est insuffisante sous l'angle des exigences de motivation de la décision (TF 1A.95/2002 du 16 juillet 2002 consid. 3.3 ; CREP 4 novembre 2022/820 précité consid. 2.2 ; CREP 28 juin 2019/521 consid. 2.1), de sorte qu’une violation du droit d’être entendu du recourant doit être admise. Dans la mesure où le Ministère public ne s’est pas déterminé sur le recours et afin de garantir au recourant le double degré de juridiction, la Chambre de céans ne peut pas réparer le vice, alors même que, prima facie, le recourant semble admettre le vol des écouteurs séquestrés. L’autorité de recours est ainsi privée de la possibilité d’exercer correctement son contrôle. Par conséquent, le grief du recourant relatif à une absence de motivation est bien fondé.</w:t>
      </w:r>
    </w:p>
    <w:p>
      <w:r>
        <w:rPr>
          <w:b/>
        </w:rPr>
        <w:t>E. 3</w:t>
      </w:r>
    </w:p>
    <w:p>
      <w:r>
        <w:t>et les réf. citées). Les frais de la procédure de recours, par 550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indemnité pour les dépenses occasionnées par l’exercice raisonnable de ses droits pour la procédure de recours (art. 429 al. 1 let. a CPP). Au vu de la nature de l’affaire et du mémoire de recours produit, l’indemnité sera fixée à 600 fr., correspondant à 2 heures d’activité nécessaire d’avocat breveté au tarif horaire de 300 fr. (la cause ne présentant pas difficultés particulières), montant auquel il convient d’ajouter des débours forfaitaires à concurrence de 2 % des honoraires (art. 19 al. 2 TDC [Tarif des dépens en matière civile du 23 novembre 2010 ; BLV 270.11.6], applicable par renvoi de l’art. 26a al. 6 TFIP), par 12 fr., plus la TVA au taux de 7,7 %, par 47 fr. 15, soit 660 fr. au total en chiffres arrondis. Par ces motifs, la Chambre des recours pénale prononce : I. Le recours est admis. II. L’ordonnance est annulée. III. Le dossier de la cause est renvoyé au Ministère public cantonal Strada pour qu’il rende une nouvelle décision dans le sens des</w:t>
      </w:r>
    </w:p>
    <w:p>
      <w:r>
        <w:t>- 6 - considérants dans un délai de dix jours dès la notification du présent arrêt. IV. Le séquestre n° 35042 est maintenu jusqu’à droit connu sur la décision à rendre par le Ministère public cantonal Strada conformément au chiffre III ci-dessus, à la condition que cette décision intervienne dans le délai imparti. V. Une indemnité de 660 fr. (six cent soixante francs) est allouée à M. pour les dépenses occasionnées par la procédure de recours, à la charge de l’Etat. VI. Les frais d’arrêt, par 550 fr. (cinq cent cinquante francs), sont laissés à la charge de l’Etat. VII. L’arrêt est exécutoire. La présidente : La greffière : Du Le présent arrêt, dont la rédaction a été approuvée à huis clos, est notifié, par l'envoi d'une copie complète, à : - Me Dario Barbosa, avocat (pour M.), - Ministère public central, et communiqué à : - Mme la Procureure cantonal Strada,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