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PE22.001349 vom 9. März 2023</w:t>
      </w:r>
    </w:p>
    <w:p>
      <w:r>
        <w:t>VD Tribunal cantonal, 2023-03-09, FR</w:t>
      </w:r>
    </w:p>
    <w:p>
      <w:r>
        <w:rPr>
          <w:b/>
        </w:rPr>
        <w:t xml:space="preserve">Quelle: </w:t>
      </w:r>
      <w:r>
        <w:t>https://mcp.opencaselaw.ch/entscheid/vd_gerichte_PE22.001349</w:t>
      </w:r>
    </w:p>
    <w:p>
      <w:r>
        <w:t>FR: VD_GERICHTE PE22.001349 du 9 mars 2023</w:t>
      </w:r>
    </w:p>
    <w:p>
      <w:r>
        <w:t>IT: VD_GERICHTE PE22.001349 del 9 marzo 2023</w:t>
      </w:r>
    </w:p>
    <w:p>
      <w:pPr>
        <w:pStyle w:val="Heading2"/>
      </w:pPr>
      <w:r>
        <w:t>Erwägungen</w:t>
      </w:r>
    </w:p>
    <w:p>
      <w:r>
        <w:rPr>
          <w:b/>
        </w:rPr>
        <w:t>E. 17</w:t>
      </w:r>
    </w:p>
    <w:p>
      <w:r>
        <w:t>janvier 2023, dans laquelle cette autorité a retenu que le risque de collusion demeurait concret. Par ailleurs, il a rappelé que la procédure</w:t>
      </w:r>
    </w:p>
    <w:p>
      <w:r>
        <w:t>- 5 - pénale demeurait en cours et que le rapport de police et celui de l’examen clinique de [...] devaient encore être déposés. Le procureur a arrêté la durée de l’interdiction de téléphoner en lien avec la détention provisoire au 21 avril 2023 – sous réserve d’une éventuelle prolongation – ce qui correspondait à la durée de la prolongation de la détention provisoire ordonnée par le Tribunal des mesures de contrainte dans son ordonnance du 17 janvier 2023. C. Par acte du 9 février 2023, E.________ a recouru contre cette ordonnance en concluant, avec suite de frais et dépens, à son annulation. Interpellé le 22 février 2022, le Ministère public a déclaré renoncer à déposer des déterminations. La plaignante a indiqué s’en remettre à justice et ne pas vouloir déposer de déterminations. En d roit : 1. 1.1 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Jeanneret/Kuhn/Perrier Depeursinge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w:t>
      </w:r>
    </w:p>
    <w:p>
      <w:r>
        <w:t>- 6 - suisse du 19 mai 2009 ; BLV 312.01] ; art. 80 LOJV [Loi d'organisation judiciaire du 12 décembre 1979 ; BLV 173.01]). 1.2 En l’espèce, interjeté dans le délai légal, auprès de l’autorité compétente et dans les formes prescrites (art. 385 al. 1 CPP), contre une ordonnance du Ministère public valant interdiction de téléphoner en détention provisoire, par le prévenu qui a qualité pour recourir (art. 382 al. 1 CPP), le recours de E.________ est recevable. 2. 2.1 Le recourant fait valoir toute une série de moyens pour démontrer que le risque de collusion n’est plus concret. Il critique d’abord la teneur de l’arrêt cantonal du 29 décembre 2022 (n° 967), en ce sens que celui-ci retiendrait de façon erronée qu’il aurait de la peine à respecter le cadre qui lui était imposé en détention, et lui reprocherait de s’être entretenu de l’affaire avec des tiers, précisant à cet égard que rien ne démontrait qu’il aurait tenté de les instiguer à prendre contact avec les plaignantes. Il rappelle en outre que jusqu’aux faits du 22 juillet 2022, il se trouvait en liberté et qu’il avait déjà connaissance de la plainte déposée par son épouse le 10 janvier 2022 concernant les cas 1 à 4 sur lesquels il avait déjà été entendu et qu’il aurait eu, s’il avait voulu, tout le loisir d’en discuter avec des tiers ; en outre, il ne ressortirait pas du dossier qu’il aurait tenté d’exercer une quelconque influence sur son épouse afin qu’elle modifie la version des faits figurant dans sa plainte du 10 janvier 2022 ou qu’elle la retire purement et simplement. Vu ces éléments, le recourant considère que le risque de collusion n’est pas réalisé et que l’obiter dictum fait par la Chambre des recours pénale est erroné. E.________ reproche par ailleurs au Ministère public de ne pas avoir analysé le risque de collusion dans son ordonnance du 27 janvier 2023 et de s’être simplement référé à l’arrêt du Tribunal cantonal du 29 décembre 2022 ainsi qu’à l’ordonnance du Tribunal des mesures de contrainte du 17 janvier 2023. Selon lui, il appartenait au procureur d’examiner cette question à l’aune de son audition du 23 janvier 2023.</w:t>
      </w:r>
    </w:p>
    <w:p>
      <w:r>
        <w:t>- 7 - Le recourant met encore en avant le fait que l’instruction menée par le Ministère public est pratiquement terminée, que les plaignantes ont été entendues à deux reprises chacune sur les faits du cas n° 5, qu’[...] a été entendue sur les faits des cas n° 1 à 4 et qu’à cette occasion elle a notamment confirmé sa plainte, que lui-même a été entendu à trois reprises au moins et que le procureur a indiqué qu’il allait prochainement procéder à son audition récapitulative, cette mesure d’instruction n’ayant toutefois selon lui pas d’effet sur l’examen du risque de collusion. Par ailleurs, il indique que l’hypothétique changement de version des plaignantes, qui pourrait être obtenu par des tiers auxquels on attribue un comportement potentiellement contraignant, serait douteux. Le recourant fait également valoir une violation de son droit d’être entendu. Il reproche au procureur d’avoir pris en compte, dans l’examen du risque de collusion, le fait qu’un rapport de police et qu’un rapport d’examen clinique de [...] allaient être déposés, sans expliquer leurs liens avec ce risque, précisant qu’il ne voyait pas par quel moyen il pourrait exercer une quelconque influence sur les rédacteurs de ces rapports. Enfin, E.________ considère que la décision entreprise ne respecte pas le principe de proportionnalité. En effet, elle lui interdirait tout contact téléphonique avec l’extérieur alors qu’il recevrait régulièrement des visites de tiers ou de familiers, ce qui ne serait pas cohérent. 2.2 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w:t>
      </w:r>
    </w:p>
    <w:p>
      <w:r>
        <w:t>- 8 - détention l'exige (TF 1B_122/2020 du 20 mars 2020 consid. 2.1 à 2.3 ; TF 1B_17/2015 du 18 mars 2015 consid. 3.1 ; Schmid/Jositsch, Schweizerische Strafprozessordnung (StPO) : Praxiskommentar, 3e éd., Zurich 2018, n. 1 ad art. 235 CPP). Il appartient au législateur cantonal de régler les droits et les obligations des prévenus en détention (art. 235 al. 5 CPP ; TF 1B_410/2019 du 4 octobre 2019 consid. 3.1 ; TF 1B_425/2015 du 21 juin 2016 consid. 2.4.1).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proches ne sont pas non plus toujours nécessaires pour conclure à une « vie familiale » au sens de l’art. 8 par. 1 CEDH. Dans cette approche, l’intensité de la relation factuelle peut donc pallier l’absence de rapport de parenté biologique et/ou juridique. Des concubins dont la vie commune dure depuis 15 ans peuvent ainsi se prévaloir de la garantie de la vie familiale au sens précité (Dubey, Droits fondamentaux, vol. II, Bâle 2018, nn. 1804- 1810 et les réf. citées).</w:t>
      </w:r>
    </w:p>
    <w:p>
      <w:r>
        <w:t>- 9 -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et les réf.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Conformément à la jurisprudence du Tribunal fédéral, les visites ou les appels téléphoniques, même en faveur des proches, peuvent être refusés à la personne placée en détention provisoire en cas de danger important de collusion (ATF 143 I 241 consid. 3.6 et les réf. citées).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w:t>
      </w:r>
    </w:p>
    <w:p>
      <w:r>
        <w:t>- 10 - l'intention des Etats membres du Conseil de l'Europe, mais le Tribunal fédéral en tient compte dans la concrétisation de la liberté personnelle et des autres droits fondamentaux garantis par la Cst. et la CEDH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145 I 318 consid. 2.2 ; TF 1B_202/2016 du 14 juillet 2016 consid. 2.2). 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2.3 En l’occurrence, on relèvera tout d’abord que le recourant ne saurait être suivi lorsqu’il dénonce le contenu de l’arrêt de la Chambre de céans du 29 décembre 2022 (n° 967) dont la motivation, complète et convaincante peut être reprise. Il en va de même s’agissant du reproche au procureur de s’être uniquement référé à des décisions antérieures (arrêt de la chambre de céans précité et ordonnance du Tribunal des mesures de contrainte du 17 janvier 2023) sans procéder à sa propre analyse. En effet, ce magistrat pouvait renvoyer aux motifs de ces décisions si, selon lui, rien de nouveau ne justifiait une motivation différente. Enfin, on retiendra qu’au jour de l’arrêt cantonal du 29</w:t>
      </w:r>
    </w:p>
    <w:p>
      <w:r>
        <w:t>- 11 - décembre 2022 (n° 967), le risque de changement de versions des plaignantes existait bel et bien et constituait un indice de plus pour retenir le risque de collusion. Cela étant posé, force est de constater que l’enquête avance et que le dossier comporte de nouveaux éléments, de sorte que E.________ ne se trouve plus dans la même situation que celle qui prévalait au moment de la reddition de l’arrêt de la Cour de céans du 29 décembre 2022 (n° 967) et de l’ordonnance du Tribunal des mesures de contrainte du 17 janvier 2023 sur lesquels le Ministère public s’est appuyé pour retenir l’existence d’un risque de collusion suffisamment caractérisé pour lui interdire de téléphoner. En effet, le procureur autorise maintenant E.________ à recevoir des visites de tiers et de familiers en prison. On peut en déduire qu’il considère donc que le risque que le prévenu tente d’influencer les plaignantes par le biais de tiers a diminué. Il n’est donc pas cohérent, à l’instar de ce que fait valoir le recourant, d’interdire ensuite les conversations téléphoniques en partant de l’hypothèse que le prévenu tenterait d’atteindre les plaignantes par cette voie. Ensuite, et même si au moment de la reddition de l’ordonnance attaquée, le rapport de police n’avait pas encore été déposé, on constate que E.________ a été longuement entendu par la police le 23 janvier 2023, soit antérieurement à l’ordonnance attaquée. Certes, le procureur a annoncé la prochaine audition récapitulative du prévenu ; cette mesure d’instruction n’a toutefois aucun effet dans le cadre de l’examen du risque de collusion et, surtout, rien ne permet de conclure que le prévenu décidera de modifier sa version des faits. Quant aux plaignantes, elles ont été entendues chacune à deux reprises sur le cas n° 5 et [...] sur les faits objets des cas nos 1 à 4 ; elles n’ont par ailleurs à aucun moment manifesté une quelconque intention de revenir sur leur version. Le risque qu’elles modifient leurs déclarations à ce stade de la procédure est donc très hypothétique.</w:t>
      </w:r>
    </w:p>
    <w:p>
      <w:r>
        <w:t>- 12 - Au vu de ce qui précède, force est de constater que l’enquête est à bout touchant. Ainsi les exigences relatives à la preuve de l'existence d'un risque de collusion sont plus élevées qu’au moment de la reddition des décisions des 29 décembre 2022 et 17 janvier 2023 précitées (ATF 137 IV 122 consid. 4.2). Partant, et en l’état de l’instruction, le risque de collusion n’est plus suffisamment caractérisé pour interdire au recourant de téléphoner. 3. En définitive, le recours doit être admis et l’ordonnance attaquée annulée. Les frais de la procédure de recours, constitués de l'émolument d'arrêt, par 1’210 fr. (art. 20 al. 1 TFIP [Tarif des frais de procédure et indemnités en matière pénale du 28 septembre 2010 ; BLV 312.03.1]), et des frais imputables à la défense d’office (art. 422 al. 1 et 2 let. a CPP), fixés à 540 fr. (trois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plus la TVA, par 42 fr. 40, soit à 594 fr. au total en chiffres arrondis, seront laissés à la charge de l’Etat (art. 428 al. 4 CPP). Par ces motifs, la Chambre des recours pénale prononce : I. Le recours est admis. II. L’ordonnance du 27 janvier 2023 est annulée. III. L’indemnité allouée au défenseur d’office de E.________ est fixée à 594 fr. (cinq cent nonante-quatre francs). IV. Les frais d’arrêt, par 1’210 fr. (mille deux cent dix francs), ainsi que l’indemnité allouée au défenseur d’office de E.________, par 594 fr. (cinq cent nonante-quatre francs), sont laissés à la charge de l’Etat.</w:t>
      </w:r>
    </w:p>
    <w:p>
      <w:r>
        <w:t>- 13 - V. L’arrêt est exécutoire. La présidente : La greffière : Du Le présent arrêt, dont la rédaction a été approuvée à huis clos, est notifié, par l'envoi d'une copie complète, à : - Me Laurent Fischer, avocat (pour E.________), - Me Raphaël Tatti, avocat (pour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