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PE22.001062 vom 27. Januar 2022</w:t>
      </w:r>
    </w:p>
    <w:p>
      <w:r>
        <w:t>VD Tribunal cantonal, 2022-01-27, FR</w:t>
      </w:r>
    </w:p>
    <w:p>
      <w:r>
        <w:rPr>
          <w:b/>
        </w:rPr>
        <w:t xml:space="preserve">Quelle: </w:t>
      </w:r>
      <w:r>
        <w:t>https://mcp.opencaselaw.ch/entscheid/vd_gerichte_PE22.001062</w:t>
      </w:r>
    </w:p>
    <w:p>
      <w:r>
        <w:t>FR: VD_GERICHTE PE22.001062 du 27 janvier 2022</w:t>
      </w:r>
    </w:p>
    <w:p>
      <w:r>
        <w:t>IT: VD_GERICHTE PE22.001062 del 27 gennaio 2022</w:t>
      </w:r>
    </w:p>
    <w:p>
      <w:pPr>
        <w:pStyle w:val="Heading2"/>
      </w:pPr>
      <w:r>
        <w:t>Erwägungen</w:t>
      </w:r>
    </w:p>
    <w:p>
      <w:r>
        <w:rPr>
          <w:b/>
        </w:rPr>
        <w:t>E. 1</w:t>
      </w:r>
    </w:p>
    <w:p>
      <w:r>
        <w:t>CPP, qui interdit la prolongation des délais fixés par la loi et n’autorise pas la partie à compléter un acte dépourvu de motivation (TF 6B_609/2021 du 19 juillet 2021 consid. 2.4 ; TF 6B_510/2020 précité ; TF 6B_510/2018 du 31 juillet 2018 consid. 1 et les références citées).</w:t>
      </w:r>
    </w:p>
    <w:p>
      <w:r>
        <w:rPr>
          <w:b/>
        </w:rPr>
        <w:t>E. 1.1</w:t>
      </w:r>
    </w:p>
    <w:p>
      <w:r>
        <w:t>Selon l'art. 38 al. 1 LEP (loi vaudoise sur l'exécution des condamnations pénales du 4 juillet 2006 ; BLV 340.01), peuvent notamment faire l'objet d'un recours au Tribunal cantonal les décisions rendues par l'Office d'exécution des peines. Aux termes de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al. 1 let. d LOJV [loi vaudoise d’organisation judiciaire du 12 décembre 1979 ; BLV 173.01]).</w:t>
      </w:r>
    </w:p>
    <w:p>
      <w:r>
        <w:rPr>
          <w:b/>
        </w:rPr>
        <w:t>E. 1.2</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22 juin 2020/479</w:t>
      </w:r>
    </w:p>
    <w:p>
      <w:r>
        <w:t>- 4 - consid. 1.3). Dans le canton de Vaud, la langue de la procédure est le français (art. 16 LVCPP).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 CREP 29 novembre 2021/1086 ; CREP 23 juillet 2021/677).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w:t>
      </w:r>
    </w:p>
    <w:p>
      <w:r>
        <w:t>- 5 -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w:t>
      </w:r>
    </w:p>
    <w:p>
      <w:r>
        <w:rPr>
          <w:b/>
        </w:rPr>
        <w:t>E. 1.3.2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2</w:t>
      </w:r>
    </w:p>
    <w:p>
      <w:r>
        <w:t>En l’espèce, la recevabilité de l’acte de recours sous l’angle du respect du délai de recours et de la langue de la procédure peut demeurer indécise dès lors que le recours doit de toute manière être déclaré irrecevable, faute de satisfaire aux exigences de motivation de l’art. 385 al. 1 CPP. En effet, dans son acte, U.________ se contente d’indiquer qu’il ignore ce qu’il a fait pour mériter un tel traitement et un tel refus et qu’il attend que les autorités le renseignent sur ce qu’il a fait exactement pour justifier ce refus. Ce faisant, il ne prend aucunement appui sur la motivation de la décision attaquée et ne critique pas l’argumentation – pourtant claire – de l’Office d’exécution des peines. Cet écrit ne permet</w:t>
      </w:r>
    </w:p>
    <w:p>
      <w:r>
        <w:t>- 6 - dès lors pas de comprendre les motifs qui commanderaient une autre décision, de sorte que le recours ne satisfait pas aux exigences de motivation de l'art. 385 al. 1 CPP. Un tel défaut de motivation ne saurait justifier qu'un délai supplémentaire soit fixé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660 fr. (six cent soixante francs), sont laissés à la charge de l’Etat. III. L’arrêt est exécutoire. La présidente : La greffière :</w:t>
      </w:r>
    </w:p>
    <w:p>
      <w:r>
        <w:t>- 7 - Du Le présent arrêt, dont la rédaction a été approuvée à huis clos, est notifié, par l'envoi d'une copie complète, à : - M. U.________, (et par efax), - Ministère public central, (et par efax), et communiqué à : - Office d’exécution des peines, (et par efax), - Direction des Etablissements de la Plaine de l’Orbe,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