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PE22.000764 vom 16. November 2023</w:t>
      </w:r>
    </w:p>
    <w:p>
      <w:r>
        <w:t>VD Tribunal cantonal, 2023-11-16, FR</w:t>
      </w:r>
    </w:p>
    <w:p>
      <w:r>
        <w:rPr>
          <w:b/>
        </w:rPr>
        <w:t xml:space="preserve">Quelle: </w:t>
      </w:r>
      <w:r>
        <w:t>https://mcp.opencaselaw.ch/entscheid/vd_gerichte_PE22.000764</w:t>
      </w:r>
    </w:p>
    <w:p>
      <w:r>
        <w:t>FR: VD_GERICHTE PE22.000764 du 16 novembre 2023</w:t>
      </w:r>
    </w:p>
    <w:p>
      <w:r>
        <w:t>IT: VD_GERICHTE PE22.000764 del 16 novembre 2023</w:t>
      </w:r>
    </w:p>
    <w:p>
      <w:pPr>
        <w:pStyle w:val="Heading2"/>
      </w:pPr>
      <w:r>
        <w:t>Erwägungen</w:t>
      </w:r>
    </w:p>
    <w:p>
      <w:r>
        <w:rPr>
          <w:b/>
        </w:rPr>
        <w:t>E. 15</w:t>
      </w:r>
    </w:p>
    <w:p>
      <w:r>
        <w:t>mai 2019 (échéance moyenne) (V), a renvoyé A.H.________ à agir par la voie civile pour le reste de son dommage (VI), a renvoyé B.H.________ à agir par la voie civile pour l’intégralité de ses conclusions civiles (VII), a ordonné le maintien au dossier à titre de pièce à conviction des DVD’s, des deux pages manuscrites ainsi que des deux clés USB, inventoriés respectivement sous fiches n°33057, 33058, 33059, 33060, 35210, 35644 et 35728 (VIII), a arrêté à 11'240 fr. 30 l’indemnité allouée à Me Christophe Borel, conseil juridique gratuit de A.H.________ et B.H.________ (IX), a arrêté à 7'129 fr. 60 l’indemnité allouée à Me Milena Vaucher-Chiari, défenseure d’office de T.________ (X), a mis les frais de justice, arrêtés à 41'280 fr. 40, à la charge de T.________ (XI) et a dit que celui-ci sera tenu de rembourser à l’Etat le montant de cette indemnité lorsque sa situation financière le permettra (XII). B. Par annonce du 17 novembre 2023, puis déclaration du 28 mars 2024 (motivée le 4 septembre 2024), T.________ a formé appel contre ce jugement, en concluant, avec suite de frais et dépens, principalement à sa réforme en ce sens qu’il soit libéré des chefs de prévention d’actes d’ordre sexuel avec des enfants et de violation du devoir d’assistance ou d’éducation, les frais de justice étant laissés à la charge de l’Etat,</w:t>
      </w:r>
    </w:p>
    <w:p>
      <w:r>
        <w:t>- 10 - subsidiairement à sa réforme en ce sens qu’il soit mis au bénéfice d’un sursis complet assorti d’un délai d’épreuve de trois ans. A titre de réquisition de preuve, T.________ a sollicité la mise en œuvre d’une expertise de crédibilité des déclarations de A.H.________ et B.H.________. C. Les faits retenus sont les suivants : 1. T.________ est né le [...] 1986 à [...], au Portugal, pays dont il est originaire. Arrivé en Suisse à l'âge de cinq ans, il a suivi sa scolarité à [...], qu’il n’a cependant pas terminée. Sans formation, il a alors travaillé comme employé temporaire sur des chantiers, puis comme agent de sécurité pendant plusieurs années. A la suite d'un accident de voiture, survenu en 2013, T.________ n'a pas repris d'activité professionnelle et a commencé à percevoir une rente des Services sociaux. Il a entrepris, à la fin de l'année 2021, une formation proposée par l'Al dans le domaine informatique, qu'il a dû interrompre en raison de la présente affaire. Il est actuellement au bénéfice d’un permis C. L’intéressé est le père de deux filles, issues de sa relation avec C.H.________, soit A.H.________, née le [...] 2010, et B.H.________, née le [...] 2013. Après sa séparation de la mère des deux filles, au début de l’année 2013, le prévenu a continué pendant un temps à voir ses filles, à raison d'une fois par semaine, ou plus longuement durant les vacances d'été ; actuellement, son droit de visite est suspendu et il ne voit plus ses enfants. T.________ est suivi sur le plan psychologique depuis 2018, prend des anti-dépresseurs et des anxiolytiques et souffre de problèmes de santé, notamment d'une thrombose chronique de la veine porte du foie, non-opérable. Il perçoit l’AI, rétroactivement au 1er septembre 2019, à hauteur de 1'607 fr. par mois. Les services sociaux prennent en charge son loyer, à hauteur de 1'700 fr. par mois, jusqu’à l’obtention de prestations complémentaires. Outre la pension alimentaire à verser pour ses deux filles, le prévenu a pour quelque 35'000 fr. de dettes. Dans son pays d’origine, il a deux tantes, dont l’une a de graves problèmes de santé.</w:t>
      </w:r>
    </w:p>
    <w:p>
      <w:r>
        <w:t>- 11 - Le casier judiciaire de T.________ mentionne la condamnation suivante : - 10 octobre 2014, Ministère public de l’arrondissement de Lausanne : pour abus de confiance, peine pécuniaire de 5 jours-amende à 30 fr., avec sursis pendant 2 ans. 2. A [...], Chemin [...], à tout le moins entre l’année 2017 et le mois de novembre 2021, T.________ a, lorsqu’il exerçait son droit de visite un week-end sur deux, commis, à différentes occasions et à un nombre indéterminé de reprises, lors de douches ou de bains, des attouchements à caractère sexuel sur ses filles A.H.________ et B.H.________. Au terme de leur bain ou douche et alors qu’elles étaient assises en tailleur ou debout dans la baignoire, dos à dos ou côte à côte, il leur a en particulier demandé d’écarter les jambes, leur a caressé le sexe et a introduit un, puis deux doigts à l’intérieur de leur vagin. A certaines occasions, alors qu’elles étaient debout, penchées en avant, avec les jambes écartées, il leur a également caressé le sillon interfessier et leur a introduit un doigt dans l’anus. Le prévenu a aussi caressé les seins de A.H.________, à plusieurs occasions. C.H.________, représentante légale des filles, a dénoncé les faits le 14 janvier 2022. A.H.________ et B.H.________, par le biais de leur curateur Me Christophe Borel, se sont constituées parties plaignantes demanderesses au pénal et au civil le 15 février 2022. En d roit : 1. Interjeté dans les formes et délais légaux (art. 399 CPP) par une partie ayant qualité pour recourir (art. 382 al. 1 CPP) contre le</w:t>
      </w:r>
    </w:p>
    <w:p>
      <w:r>
        <w:t>- 12 - jugement d'un tribunal de première instance qui a clos la procédure (art. 398 al. 1 CPP), l’appel de T.________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3.1.1 L’appelant requiert une expertise de crédibilité de A.H.________ et B.H.________. Il invoque en substance un contexte familial complexe depuis sa séparation d’avec C.H.________, ayant engendré des tensions entre les parents (relatives notamment aux contributions d’entretien mises à sa charge), au sein de la famille ou avec le nouveau compagnon de C.H.________, G.________. Il indique qu’il apparaît étrange, voire incohérent, qu’au début de l’année 2021, A.H.________ ait manifesté son envie d’aller vivre chez lui, puis qu’elle lui reproche, à la fin de l’année 2021, d’avoir abusé d’elle depuis plusieurs années. A cela s’ajoute le fait que C.H.________ serait restée inactive après la découverte des accusations le visant. Quant à B.H.________, ses déclarations seraient fragmentaires, en ce qu’elle utilise, en audition, des termes caractéristiques d’un langage d’adulte, termes qu’elle ne peut cependant ensuite pas expliquer, voire incohérentes, lorsqu’elle mentionne des bains</w:t>
      </w:r>
    </w:p>
    <w:p>
      <w:r>
        <w:t>- 13 - d’une heure ou le fait que l’appelant lui aurait volé de l’argent, ainsi qu’à sa sœur. En outre, il serait choquant qu’une enfant de moins de 10 ans parvienne à déclarer que son père est un manipulateur, ce qui s’expliquerait par le fait que B.H.________ a entendu ce terme d’adulte dans la bouche de sa mère. Ainsi, l’ensemble des éléments donnerait à penser que les filles ont été influencées, même de manière non intentionnelle, par C.H.________ ou G.________, ce qui justifierait la mise en œuvre d’une expertise de crédibilité. 3.1.2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 JdT 2015 I 115). Aux termes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w:t>
      </w:r>
    </w:p>
    <w:p>
      <w:r>
        <w:t>- 14 -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références citées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 TF 6B_762/2021 précité consid. 1.2). Le tribunal dispose à cet égard d'un pouvoir d'appréciation (TF 6B_1109/2021 du 1er avril 2022 consid. 1.2 et les références citées). 3.1.3 En l’espèce, au terme d’une administration anticipée des preuves, la requête tendant à la mise en œuvre d’une expertise de crédibilité des déclarations de A.H.________ et B.H.________ est rejetée, dès</w:t>
      </w:r>
    </w:p>
    <w:p>
      <w:r>
        <w:t>- 15 - lors qu’elle ne se justifie pas, au regard des considérations exposées ci- après (cf. consid. 4.3.1). 3.2 3.2.1 A.H.________ et B.H.________ requièrent que le mémoire déposé par T.________ le 4 septembre 2024 soit déclaré irrecevable et retranché du dossier, dès lors qu’il serait tardif et que son admission permettrait de contourner le délai prévu par l’art. 399 al. 3 CPP pour déposer une déclaration d’appel motivée. 3.2.2 Conformément à l’art. 399 al. 3 CPP,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Ainsi, la déclaration d’appel ne doit pas obligatoirement contenir de motivation. L’appelant peut motiver ses conclusions lors des débats d’appel en présentant sa plaidoirie (Kistler Vianin, in : Jeanneret et al. [éd.], Commentaire romand, Code de procédure pénale suisse [CR CPP], 2e éd., Bâle, 2019, n. 19 ad art. 399 CPP, et les références citées ; cf. également CAPE 15 mai 2024/164 consid. 2). 3.2.3 Dans la mesure où T.________ a déposé à temps sa déclaration d’appel du 28 mars 2024, laquelle mentionne les points du jugement de première instance qu’il attaque et les modifications du jugement de première instance qu’il demande (ce qui répond aux exigences de l’art. 399 al. 3 CPP), et qu’il lui était loisible de motiver ses conclusions jusqu’aux débats de deuxième instance, le mémoire motivé déposé le 4 septembre 2024, soit antérieurement aux débats d’appel, est recevable. 4. 4.1 L’appelant conteste sa condamnation pour actes d’ordre sexuel avec des enfants (art. 187 CP [Code pénal suisse du 21 décembre 1937 ; RS 311.0]) et violation du devoir d’assistance ou</w:t>
      </w:r>
    </w:p>
    <w:p>
      <w:r>
        <w:t>- 16 - d’éducation (art. 219 CP). Il invoque une constatation erronée des faits, dès lors que le tribunal correctionnel a exclu l’éventualité d’une manipulation exercée par C.H.________ sur les filles, en partant du constat, d'une part, que la tromperie survenue au sein du couple en 2013 n'avait engendré qu'une année de tensions, avant que les relations entre les parents ne finissent par s'apaiser, et, d'autre part, que la procédure civile relative à la modification des contributions d'entretien datait de la fin de l'année 2020. Or, pour aboutir à un tel constat, les premiers juges auraient omis de tenir compte de certains éléments déterminants dans leur appréciation, les conduisant ainsi à apprécier d'une manière erronée les moyens de preuve à leur disposition. Il en irait ainsi des déclarations d’[...], entendue au mois de mai 2022, à qui A.H.________ et B.H.________ auraient décrit une situation tendue entre leurs parents et à qui la première aurait manifesté, en octobre ou novembre 2021, son souhait d’aller vivre chez son père en raison du conflit interparental et de nombreuses punitions chez sa mère. Par ailleurs, [...] et [...] auraient affirmé avoir déjà confié leurs filles à l’appelant, lui témoignant ainsi une confiance totale. Force serait dès lors de constater que les circonstances entourant le conflit entre T.________ et C.H.________, respectivement les conséquences de celui-ci sur le comportement de leurs filles, demeurent floues. A cet égard, le mécanisme inhérent aux tensions interparentales visant pour un parent à tenter d'influencer ou manipuler, directement ou indirectement, les enfants du couple – par exemple en se dénigrant dans une volonté de se nuire réciproquement – ne serait pas inusuel. Enfin, le tribunal de première instance n’aurait pas tenu compte du fait que le Dr [...] avait indiqué ne jamais avoir été confronté, lors du suivi de l'appelant, à des éléments laissant penser que celui-ci – dont le vécu et les propos seraient cohérents avec ceux d'un père de famille injustement accusé – n'était pas sincère lorsqu'il démentait les accusations portées à son encontre. T.________ invoque également une violation des art. 10 et 80 al. 2 CPP, 32 al. 1 Cst et 6 § 2 CEDH et des principes de la présomption d’innocence, de l’arbitraire et du droit d’être entendu. Il n'existerait ni aveux ni preuves matérielles l’inculpant, le tribunal correctionnel ayant</w:t>
      </w:r>
    </w:p>
    <w:p>
      <w:r>
        <w:t>- 17 - fondé sa conviction de culpabilité principalement sur les déclarations des parties plaignantes et de C.H.________. Il s’agirait cependant de faire preuve d'une certaine retenue en lien avec les déclarations de A.H.________ et B.H.________ dans un contexte de tensions interparentales et du risque d’influence qui en découlerait. Les premiers juges n’auraient pas expliqué ni motivé pourquoi des éléments à décharge ont été écartés, n’auraient pas justifié en quoi certaines incohérences dans les déclarations des filles devaient être qualifiées d’anodines et n’auraient pas fait preuve de neutralité en qualifiant ses dénégations de non crédibles.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w:t>
      </w:r>
    </w:p>
    <w:p>
      <w:r>
        <w:t>- 18 - et, partant, qu’il appartient à l’accusation de prouver la culpabilité de celle-là (ATF 127 I 38 consid. 2a, JdT 2004 IV 65 ; TF 6B_47/2018 du</w:t>
      </w:r>
    </w:p>
    <w:p>
      <w:r>
        <w:rPr>
          <w:b/>
        </w:rPr>
        <w:t>E. 20</w:t>
      </w:r>
    </w:p>
    <w:p>
      <w:r>
        <w:t>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 4.2.2 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w:t>
      </w:r>
    </w:p>
    <w:p>
      <w:r>
        <w:t>- 19 -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w:t>
      </w:r>
    </w:p>
    <w:p>
      <w:r>
        <w:t>- 20 - sexuelle. Le dol éventuel suffit (TF 6B_1414/2020 précité ; TF 6B_231/2020 précité ; TF 6B_299/2018 précité). 4.3 4.3.1 4.3.1.1 En ce qui concerne le chef d’accusation d’actes d’ordre sexuel avec des enfants, les premiers juges ont retenu qu’ils n’avaient aucune raison de mettre en doute les déclarations faites par A.H.________ et B.H.________ lors de l'enquête, puisque c’était avec détails et gestes explicites mimés aux enquêteurs qu’elles avaient décrit les attouchements dénoncés. Certes, quelques incohérences pouvaient être trouvées dans les déclarations des filles ou certains termes ou tournures de phrases pouvaient étonner, mais ces quelques éléments étaient anodins face à la force des témoignages recueillis. Les détails, les gestes mimés, les exemples donnés et les ressentis dont elles avaient fait part ne laissaient planer aucun doute quant à la crédibilité de leur récit. A ce propos, la manipulation de ses filles invoquée par l’appelant pour expliquer les accusations portées à son encontre n'existaient que dans son esprit, dès lors qu’il n'existait aucun élément ou indice permettant d’étayer cette thèse. 4.3.1.2 L’appréciation du tribunal correctionnel emporte la conviction de la Cour de céans. On relève ainsi tout d’abord que les déclarations, en auditions LAVI, de A.H.________ et B.H.________ sont précises, claires, concordantes et convaincantes. En particulier, A.H.________ a décrit de manière détaillées les actes commis par son père. Elle a indiqué que, lors des douches – qu’elle aurait souhaité prendre seule dès l’âge de 5 ou 6 ans, ce que T.________ aurait refusé sous peine de punition –, l’appelant leur demandait d’adopter des positions précises, notamment d’écarter les jambes, pour pouvoir leur laver la « zézette », y introduisant un, puis deux doigts. A.H.________ a mimé un geste de pénétration vaginale digitale ; elle a par ailleurs décrit un épisode lui ayant fait plus mal que les autres. A.H.________ a également expliqué que T.________ lui avait par la suite touché les seins, de même que les fesses, au niveau de l’anus. L’enfant a indiqué que, lors de ces faits, elle se demandait si l’intéressé était</w:t>
      </w:r>
    </w:p>
    <w:p>
      <w:r>
        <w:t>- 21 - vraiment son père, mais qu’elle se convainquait ensuite qu’il agissait ainsi pour la laver, mais aussi qu’elle ne disait rien de peur de se faire punir. A ce sujet, A.H.________ a décrit l’un des épisodes de punitions, ayant consisté à être enfermée dans le noir pendant 15 à 20 minutes, tandis que sa sœur et son père commençaient à regarder un film. Quant à B.H.________, elle a décrit le même type d’actes de la part de l’appelant, selon lesquels celui-ci leur demandait à elle et sa sœur d’écarter les jambes et leur touchait « la partie intime » ou les fesses, en y insérant ses doigts. Compte tenu du détail des déclarations en question, force est de constater que l’on ne saurait considérer le récit de A.H.________ et B.H.________ comme ayant été inventé ou suggéré par un tiers. Les déclarations des filles apparaissent ainsi crédibles. On ne voit d’ailleurs pas en quoi les récits seraient fragmentaires. 4.3.1.3 On constate ensuite que les premières révélations d’attouchements commises par l’appelant ont été faites par A.H.________ à un tiers, en l’occurrence à [...], intervenante auprès de la Fondation PROFA. Ainsi, c’est à cette dernière, venue le 6 octobre 2021 parler d’éducation sexuelle à l’école, que A.H.________ a parlé pour la première fois que ce qu’elle subissait, évoquant entre autres des douches forcées avec son père, toujours d’actualité à ce moment-là. Interpellée par l’intervenante en question, elle a déclaré se sentir « perdue ». A.H.________ a également confié sa crainte que ses parents soient au courant de ses révélations, n’ayant pas envie que « cela fasse des histoires », estimant que cela « ne change[rait] rien ». Le 14 octobre 2021, la Fondation PROFA a émis un signalement en lien avec ces révélations (P. 57). Au mois de novembre 2021, A.H.________ a été hospitalisée à l’Hôpital de l’enfance en raison de l’évocation d’idées suicidaires scénarisées, exprimées à l’école. L’équipe médicale et pédopsychiatrique de cet hôpital a alors présenté la situation de l’intéressée au CAN Team, lequel a adressé, le 8 décembre 2021, un signalement à la Direction générale de l’enfance et de la jeunesse (ci-après DGEJ) (P. 58 et 59). Ce signalement relève notamment que A.H.________ a rapporté se trouver dans des conflits de loyauté importants, compte tenu d’un conflit parental dans lequel elle était instrumentalisée, principalement par son père, l’utilisant pour passer des</w:t>
      </w:r>
    </w:p>
    <w:p>
      <w:r>
        <w:t>- 22 - messages à sa mère, y compris des insultes. Elle a souligné avoir présenté des épisodes d’angoisses soudaines avant d’aller chez son père au début du mois d’octobre, la situation l’affectant énormément. Dans son signalement, le CAN Team a quant à lui relevé qu’il leur apparaissait évident que A.H.________ se trouvait en danger dans son développement psycho-affectif et que ces situations de maltraitances avaient des effets délétères sur sa santé mentale et son intégration scolaire. Sur la base des deux signalements en question, la DGEJ est ensuite intervenue. C’est ainsi à la demande de cette dernière entité, appuyée par le psychologue de A.H.________ et l’infirmière scolaire, que C.H.________ a dénoncé les faits à la police. Cela étant, au vu des circonstances du dévoilement, opéré auprès de tiers, toute manipulation, maternelle notamment, de A.H.________ et B.H.________ apparaît exclue. La manière dont le dévoilement est intervenu accroît par ailleurs la crédibilité du récit des victimes. 4.3.1.4 Il en va de même du tableau clinique présenté par A.H.________ à compter de la fin de l’année 2021. Ainsi, comme exposé ci-avant, celle-ci a été hospitalisée, du 22 novembre 2021 au 1er décembre 2021, à la suite d’idées suicidaires scénarisées exprimées à l’école. Elle a en outre été suivie à compter de l’automne 2021 par le psychologue [...], au sein du Service Universitaire de Psychiatrie de l’Enfant et de l’Adolescent (ci-après SUPEA), puis au sein du Centre psychothérapeutique « Les Mouettes », dès le mois de juin 2022. Ce praticien a indiqué, par rapport du 9 mars 2023 (P. 72), qu’à la suite de la dénonciation de la DGEJ, l’état psychique de A.H.________ a nécessité l’instauration d’un suivi pédopsychiatrique de crise auprès du SUPEA, compte tenu d’une symptomatologie alarmante avec un risque auto-agressif avéré, ainsi que des troubles anxieux importants. Un séjour hospitalier en pédopsychiatrie a été proposé en début d’année 2022, en raison d’un effondrement thymique significatif, entravant l’intéressée dans tous les domaines de son quotidien. Cela a conduit à une prise en charge médicamenteuse en complément des rendez-vous pédopsychiatriques jusqu’au printemps 2022. Elle présentait toujours, selon le rapport en question, une fatigabilité psychologique importante, résultant d’une énergie psychique considérable à mobiliser, et</w:t>
      </w:r>
    </w:p>
    <w:p>
      <w:r>
        <w:t>- 23 - une fragilité significative sur le plan de l’estime de soi et dans la relation à son corps. Le développement pubertaire et l’abord du processus adolescentaire induisaient un stress supplémentaire pour A.H.________, pouvant par moment lui faire vivre des sensations et des reviviscences traumatiques qu’elle cherchait à métaboliser au travers de l’étayage des adultes. Le psychologue a en outre relevé, dans un rapport complémentaire du 26 octobre 2023 (P. 87), que A.H.________ présentait, à l’origine de la prise en charge, la plupart des symptômes caractéristiques d’un stress post-traumatique, à savoir un émoussement émotionnel, du détachement, des idéations suicidaires, une hypervigilance, une perturbation du sommeil, de l’anxiété et des symptômes de la lignée dépressive. Durant l’hiver 2022, elle a évolué vers un syndrome dépressif nécessitant un étayage thérapeutique et médical important et l’introduction d’un traitement par anti-dépresseurs. Le tableau clinique était complété par une irritabilité ainsi qu’une labilité émotionnelle très perceptibles, au-delà du normatif par rapport à l’âge développemental. D’après le psychologue, les syndromes précités ont entrainé une importante fatigabilité, une mésestime, une perte de confiance en soi, des troubles de la concentration ainsi qu’une instabilité psychomotrice, ayant notamment eu des retentissements importants dans les milieux sociaux (relations aux pairs) et scolaires (apprentissage). Il sied ici de relever que les symptômes susmentionnés peuvent d’ailleurs expliquer la volonté exprimée en 2021 par A.H.________ d’aller vivre chez son père. Ces éléments sont un indice supplémentaire de crédibilité des plaignantes. 4.3.1.5 A cela s’ajoute le fait que la situation prévalant entre les parents au moment des révélations, soit à l’automne 2021, ne donne aucunement à penser que C.H.________ aurait eu un quelconque intérêt à manipuler ses filles afin de nuire à l’appelant. D’une part, les épisodes de la tromperie, puis de la rupture au début de l’année 2013, étaient manifestement oubliés. L’appelant a en effet déclaré devant les premiers juges : « Je précise que j’ai quitté C.H.________ au nouvel an 2012-2013. […] Après notre séparation, la première année était tendue, car je suis parti pour une autre fille. Après, ça allait très bien, on s’entendait très bien et on faisait les anniversaires ensemble ». Quant à C.H.________, elle a</w:t>
      </w:r>
    </w:p>
    <w:p>
      <w:r>
        <w:t>- 24 - indiqué devant le tribunal correctionnel : « Je confirme que je ne lui en veux absolument pas pour la tromperie de 2013 ». D’autre part, la diminution des contributions d’entretien mises à la charge de T.________ – prévue par voie de convention judiciaire signée par les parents le 21 décembre 2020 (P. 89) – datait d’un an avant les révélations. C’est d’ailleurs C.H.________ qui aurait, selon ses déclarations devant les premiers juges, suggéré à son ex-compagnon d’entreprendre des démarches pour faire diminuer le montant des pensions, compte tenu de son absence de revenus. Enfin, la suspension du droit de visite de l’appelant vis-à-vis de ses filles est intervenue postérieurement aux révélations des faits incriminés, et n’a pas été initiée par C.H.________, puisque c’est la DGEJ qui a suggéré à la mère de requérir la suspension de ce droit de visite. En outre, il apparaît que, d’une manière générale, C.H.________ a exprimé la confiance qu’elle avait en T.________ s’agissant de leurs filles, confiance d’ailleurs maintenue jusqu’aux débats de première instance, puisqu’elle a indiqué devant les premiers juges : « Je sais que le prévenu est un menteur, et de manière générale je ne lui faisais pas confiance, mais pour les filles je lui faisais confiance. Je ne pouvais pas croire qu’il ait pu faire ça aux filles. J’ai encore de la peine à le croire aujourd’hui ». 4.3.1.6 Il sied encore de relever que les témoignages d’[...] (PV aud. 5), [...] (PV aud. 6), [...] (PV aud. 7) et [...] (débats de première instance) – qui ont en substance indiqué durant l’enquête ou devant le tribunal correctionnel n’avoir jamais été témoins d’un quelconque comportement inapproprié de l’intéressé envers ses filles – ne sont pas pertinents en l’espèce. Il s’agit en effet d’amis, respectivement de la mère de l’appelant. La force probante des déclarations en question doit dès lors être relativisée. De plus, les faits reprochés à T.________ sont des événements ayant la particularité – comme la plupart des abus sexuels – de se dérouler à l’abri des regards, derrière des portes closes. Il en va de même des rapports des Dr [...] et [...] des 11 avril 2022 (P. 36) et 23 février 2023 (P. 74). Ceux-ci ont en substance indiqué ne jamais avoir été confrontés, lors du suivi de l’appelant (débuté au mois de décembre 2018), a des éléments pouvant laisser penser que ce dernier ne serait pas sincère dans ses</w:t>
      </w:r>
    </w:p>
    <w:p>
      <w:r>
        <w:t>- 25 - dénégations des accusations portées contre lui. Ces praticiens ont toutefois eux-mêmes relevé que le rôle des thérapeutes n’est pas neutre, car il implique par nature une alliance, et qu’une réponse objective et étayée à la question de savoir si T.________ serait susceptible de commettre des actes similaires à ceux reprochés, s’ils devaient être avérés, nécessite la distance, la neutralité et les compétences d’un expert. 4.3.1.7 Au vu de l’ensemble de ces éléments, force est de constater que les déclarations de A.H.________ et B.H.________ sont crédibles et que toute manipulation, notamment de la part de C.H.________, des plaignantes est exclue. La mise en œuvre d’une expertise de crédibilité des victimes ne se justifie dès lors pas. Partant, les faits dénoncés par les plaignantes doivent être retenus et la condamnation de l’appelant pour actes d’ordre sexuel avec des enfants confirmée. 4.3.2 S’agissant du chef de prévention de violation du devoir d’assistance ou d’éducation, se pose la question du concours de cette disposition avec l’art. 187 CP.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La question du concours entre l'art. 219 CP et d'autres dispositions du code pénal a fait l’objet de nombreuses discussions en</w:t>
      </w:r>
    </w:p>
    <w:p>
      <w:r>
        <w:t>- 26 - doctrine. La jurisprudence fédérale a cependant tranché la controverse s’agissant des art. 188 à 190 CP, en ce sens que chacune de ces dispositions prend le pas sur l’art. 219 CP, en vertu du principe de spécialité (ATF 126 IV 136 consid. 1 et les références citées ; Dupuis et al. [éd.], Petit commentaire, Code pénal, 2e éd., Bâle, 2017, n. 24 ad art. 219 CP). Concernant l'application concurrente des art. 187 et 219 CP, le Tribunal fédéral estime, avec la doctrine, que l'art. 187 CP constitue également une lex specialis par rapport à l'art. 219 CP, le bien juridique protégé par ces dispositions – le développement des mineurs – étant identique. Ainsi, si les conditions d'application des art. 187 et 219 CP sont remplies, il existe un concours imparfait et non idéal, c'est-à-dire que l'art. 187 CP saisit sous tous les aspects l'infraction réprimée par l'art. 219 CP et prime donc cette dernière disposition. En outre, comme c'est le développement du mineur qui est protégé par les deux dispositions, l'absorption de l'art. 219 CP par l'art. 187 CP vaut quelle que soit la durée ou l'intensité de l'atteinte (Eckert, in : Niggli/Wiprächtiger [éd.], Basler Kommentar, Strafrecht II, 4e éd., Bâle, 2019, n. 13 ad art. 219 CP et la référence citée). L’appel doit ainsi être admis sur ce point et T.________ libéré du chef de prévention de violation du devoir d’assistance ou d’éducation. 5. 5.1 A titre subsidiaire, dans l’hypothèse où une condamnation devait être prononcée, T.________ estime que le jugement de première instance viole l’art. 42 CP, soutenant qu’il devrait être mis au bénéfice d’un sursis complet, puisque le tribunal correctionnel n’a pas fait état d’un pronostic défavorable et a considéré qu’une évolution future positive de son développement n’était pas totalement exclue. Le fait de devoir purger une partie de peine privative de liberté entraînerait une rupture des traitements dont il bénéficie depuis 2018 et pour lesquels il dit s'investir de manière régulière, mettant ainsi à mal son état de santé déjà précaire.</w:t>
      </w:r>
    </w:p>
    <w:p>
      <w:r>
        <w:t>- 27 - L’appelant ne conteste ainsi pas, en tant que telle, la quotité de la peine qui lui a été infligée. Celle-ci doit cependant être revue d’office.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5.2.2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t>- 28 -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 5.3 Le tribunal correctionnel a en substance retenu que T.________ n’avait pas hésité à se servir de ses filles pour assouvir ses pulsions sexuelles durant plusieurs années, au sein-même de son foyer, adoptant</w:t>
      </w:r>
    </w:p>
    <w:p>
      <w:r>
        <w:t>- 29 - un comportement vil et égoïste. Pour les premiers juges, il n’avait aucunement semblé prendre conscience de la gravité de ses actes, se victimisant et s’enfermant dans le déni et dans un fantasme de manipulation. Le tribunal correctionnel a cependant estimé qu’une évolution future positive du développement de l’appelant n’était pas totalement exclue et qu’il s’agissait de favoriser une potentielle prise de conscience de celui-ci. Il a dès lors estimé qu’un sursis partiel à l’exécution de la peine privative de liberté prononcée se justifiait. En ce qui concerne la quotité de la peine, ces considérations doivent être suivies. La culpabilité de T.________ est lourde. L’appelant s’est égoïstement servi de ses filles pour satisfaire ses pulsions sexuelles. Les faits retenus, qui se sont déroulés durant plusieurs années, portent préjudice à deux jeunes victimes. Par ailleurs, les agissements de T.________ ont eu, et ont toujours, des conséquences dramatiques sur ses filles, surtout A.H.________, en termes de développement et de rapport au corps notamment. Une peine privative de liberté de vingt-quatre mois sanctionne dès lors adéquatement le comportement de l’appelant. En ce qui concerne la question du sursis, on constate que T.________ n’a, par le passé, fait l’objet que d’une seule condamnation, en octobre 2014, soit il y a dix ans, à une peine pécuniaire de 5 jours-amende à 30 fr. avec sursis, pour abus de confiance. L’appelant n’a ainsi jamais été condamné pour des infractions à l’intégrité sexuelle, ni à une peine privative de liberté. En l’état, il n’apparaît pas qu’un pronostic défavorable puisse être retenu. T.________ pourra dès lors bénéficier du sursis à l’exécution de sa peine. Le délai d’épreuve sera toutefois d’une longue durée (art. 44 al. 1 CP). 6. 6.1 L’appelant, en plaidant l’acquittement, conclut au rejet des conclusions civiles allouées à A.H.________. 6.2 En vertu de l'art. 49 al. 1 CO, celui qui subit une atteinte illicite à sa personnalité a droit à une somme d'argent à titre de réparation</w:t>
      </w:r>
    </w:p>
    <w:p>
      <w:r>
        <w:t>- 30 -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 6.3 Le tort moral alloué, à hauteur de 15'000 fr., est adéquat et doit être confirmé. A.H.________, victime d’une personne en laquelle elle devait pouvoir avoir confiance, a été atteinte dans son intégrité sexuelle. Elle a dû être hospitalisée, à la suite d’idées suicidaires, et a dû bénéficier d’une prise en charge psychologique. On rappelle qu’il en ressort que l’intéressée a présenté un effondrement thymique significatif, une fatigabilité psychologique importante, une fragilité significative sur le plan de l’estime de soi et dans la relation à son corps, des troubles de la concentration, une instabilité psychomotrice et les symptômes d’un stress post-traumatique en raison des faits (émoussement émotionnel, détachement, idéations suicidaires, hypervigilance, perturbation du</w:t>
      </w:r>
    </w:p>
    <w:p>
      <w:r>
        <w:t>- 31 - sommeil, anxiété et symptômes de la lignée dépressive). Son développement pubertaire et l’abord du processus adolescentaire ont en outre été entravés. L’indemnité porte intérêts à 5% l’an dès la survenance de l’événement dommageable. 7. L’appelant, bien qu’étant libéré de l’infraction de violation du devoir d’assistance ou d’éducation, demeure condamné pour actes d’ordre sexuel avec des enfants, à raison des mêmes faits, de sorte que son astreinte au paiement de l’entier des frais de première instance doit être maintenue (art. 426 al. 1 CPP). 8. Au vu de ce qui précède, l’appel doit être partiellement admis et le jugement entrepris réformé dans le sens des considérants. Me Milena Vaucher-Chiari, défenseure d’office de T.________, a produit une liste d’opérations ne prêtant pas le flanc à la critique. En y ajoutant 10 minutes pour compléter le temps de l’audience d’appel, il sera retenu 19 heures et 26 minutes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3'498 francs. S’y ajoutent 2% pour les débours (art. 3bis RAJ par renvoi de l’art. 26b TFIP), soit 69 fr. 95, une vacation à 120 fr. et 8.1% de TVA sur le tout, de sorte que l’indemnité d’office pour la procédure d’appel s’élève au total à 3’986 fr. 65. La liste des opérations de Me Christophe Borel, curateur de représentation et conseil juridique gratuit de A.H.________ et B.H.________, ne soulève pas non plus de remarques. En ajoutant le temps de l’audience d’appel, il sera retenu 10 heures et 55 minutes d’activité, ainsi qu’une vacation. Au tarif horaire de 180 fr., son défraiement s’élève à 1’965 francs. S’y ajoutent 2% pour les débours, par 39 fr. 30, une vacation à 120</w:t>
      </w:r>
    </w:p>
    <w:p>
      <w:r>
        <w:t>- 32 - fr. et 8.1% de TVA sur le tout, par 172 fr. 10, de sorte que l’indemnité de conseil juridique gratuit s’élève au total à 2’296 fr. 40 pour la procédure d’appel. Vu l’issue de la cause, les frais de la procédure d’appel, par 9'513 fr. 05, constitués des émoluments de jugement et d’audience, par 3’230 fr. (art. 21 al. 1 et 2 TFIP), ainsi que des indemnités précitées, sont mis par moitié à la charge de T.________, qui succombe en partie (art. 428 al. 1, 1re phrase, CPP), par 4'811 fr. 50, le solde étant laissé à la charge de l’Etat. L’appelant ne sera tenu de rembourser à l’Etat la moitié des indemnités susmentionnées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