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PE22.000290 vom 21. Februar 2022</w:t>
      </w:r>
    </w:p>
    <w:p>
      <w:r>
        <w:t>VD Tribunal cantonal, 2022-02-21, FR</w:t>
      </w:r>
    </w:p>
    <w:p>
      <w:r>
        <w:rPr>
          <w:b/>
        </w:rPr>
        <w:t xml:space="preserve">Quelle: </w:t>
      </w:r>
      <w:r>
        <w:t>https://mcp.opencaselaw.ch/entscheid/vd_gerichte_PE22.000290</w:t>
      </w:r>
    </w:p>
    <w:p>
      <w:r>
        <w:t>FR: VD_GERICHTE PE22.000290 du 21 février 2022</w:t>
      </w:r>
    </w:p>
    <w:p>
      <w:r>
        <w:t>IT: VD_GERICHTE PE22.000290 del 21 febbraio 2022</w:t>
      </w:r>
    </w:p>
    <w:p>
      <w:pPr>
        <w:pStyle w:val="Heading2"/>
      </w:pPr>
      <w:r>
        <w:t>Erwägungen</w:t>
      </w:r>
    </w:p>
    <w:p>
      <w:r>
        <w:rPr>
          <w:b/>
        </w:rPr>
        <w:t>E. 1</w:t>
      </w:r>
    </w:p>
    <w:p>
      <w:r>
        <w:t>CPP, qui interdit la prolongation des délais fixés par la loi et n’autorise pas la partie à compléter un acte dépourvu de motivation (TF 6B_609/2021 du 19 juillet 2021 consid. 2.4 ; TF 6B_510/2020 du 15 septembre 2020 consid. 2.2).</w:t>
      </w:r>
    </w:p>
    <w:p>
      <w:r>
        <w:rPr>
          <w:b/>
        </w:rPr>
        <w:t>E. 1.1</w:t>
      </w:r>
    </w:p>
    <w:p>
      <w:r>
        <w:t>Les parties peuvent attaquer une ordonnance de non-entrée en matière rendue par le Ministère public en application de l’art. 310 CPP dans les dix jours devant l’autorité de recours (art. 310 al. 2,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Le recours s’exerce par le dépôt d’un mémoire écrit et dûment motivé (art. 390 al. 1 et 396 al. 1 CPP). Les exigences de motivation du recours sont posées à l’art. 385 al. 1 CPP. Selon cette disposition, la</w:t>
      </w:r>
    </w:p>
    <w:p>
      <w:r>
        <w:t>- 6 - personne ou l’autorité qui recourt doit indiquer précisément les points de la décision qu’elle attaque (let. a), les motifs qui commandent une autre décision (let. b) et les moyens de preuves qu’elle invoque (let. c). Ainsi, le recourant doit d’abord indiquer « les points de la décision » qui sont attaqués (art. 385 al. 1 let. a CPP), par quoi il faut entendre les points du dispositif (cf. art. 81 al. 4 CPP) qui devraient être changés et quelle formulation devrait avoir la nouvelle décision si le recours était admis (Ziegler/Keller, in : Niggli/ Heer/Wiprächtiger [éd.], Basler Kommentar, Schweizerische Strafprozessordnung, Jugendstrafprozessordnung, 2e éd., Bâle 2014 [ci-après : Basler Kommentar], n. 1a ad art. 385 StPO ; Pitteloud, Code de procédure pénale suisse, Commentaire à l’usage des praticiens, Zurich/St-Gall 2012, n. 1126 ; CREP 19 février 2021/163). Le recourant doit ensuite énoncer « les motifs qui commandent une autre décision » (art. 385 al. 1 let. b CPP), à savoir les arguments, de fait ou de droit, sur lesquels il prétend se fonder pour faire modifier la décision en sa faveur. Cela suppose que le recourant expose précisément, en se référant aux considérants de la décision attaquée, quels motifs commandent – sous l’angle des faits et du droit – de prendre une autre décision ; le recourant ne saurait se contenter d’une contestation générale, notamment se référer aux arguments qu’il a invoqués devant l’instance précédente, ni simplement reprendre ceux-ci ; il ne saurait non plus se contenter de renvoyer à une écriture ou aux pièces qu’il a déposées devant l’instance précédente (TF 6B_510/2020 du 15 septembre 2020 consid. 2.2 ; TF 1B_472/2019 du 29 octobre 2019 consid. 3.1 ; TF 6B_120/2016 du 20 juin 2016 consid. 3.1 ; Keller, in : Donatsch/Lieber/Summers/Wohlers [éd.], Zürcher Kommentar, Kommentar zur Schweizerischen Strafprozessordnung, 3e éd. 2020, n. 14 ad art. 396 StPO et les références citées ; Calame, in : Jeanneret et al. [éd.], Commentaire romand, Code de procédure pénale suisse, 2e éd., Bâle 2019, n. 21 ad art. 385 CPP ; Guidon, in : Basler Kommentar, op. cit., n. 9c ad art. 396 StPO et les références citées).</w:t>
      </w:r>
    </w:p>
    <w:p>
      <w:r>
        <w:t>- 7 -</w:t>
      </w:r>
    </w:p>
    <w:p>
      <w:r>
        <w:rPr>
          <w:b/>
        </w:rPr>
        <w:t>E. 1.3</w:t>
      </w:r>
    </w:p>
    <w:p>
      <w:r>
        <w:t>L’art. 385 al. 2, 1re phrase, CPP prévoit que si le mémoire ne satisfait pas aux exigences mentionnées à l’alinéa 1, l’autorité de recours le renvoie au recourant pour qu’il le complète dans un bref délai. Cette disposition vise uniquement à protéger le justiciable contre un formalisme excessif de la part de l’autorité. Elle ne permet en revanche pas de suppléer un défaut de motivation. Il est en effet communément admis en procédure que la motivation d’un acte de recours doit être entièrement contenue dans l’acte de recours lui-même. Elle ne saurait dès lors être complétée ou corrigée ultérieurement, l’art. 385 al. 2 CPP ne devant pas être appliqué afin de détourner la portée de l’art. 89 al.</w:t>
      </w:r>
    </w:p>
    <w:p>
      <w:r>
        <w:rPr>
          <w:b/>
        </w:rPr>
        <w:t>E. 2</w:t>
      </w:r>
    </w:p>
    <w:p>
      <w:r>
        <w:t>En l’espèce, la Procureure a considéré que le litige qui opposait les parties était de nature civile. Le recourant ne critique pas cette appréciation et se contente d’exposer sa version des faits, soutenant que W.________ aurait rendu son application inutilisable, qu’il ne lui aurait jamais expliqué que celle-ci serait dépendante des serveurs de la société P.________ SA et qu’il ne lui permettrait plus d’accéder au logiciel O.________ alors qu’il l’avait facturé. Force est ainsi de constater que le recours ne satisfait pas aux exigences de motivation de l'art. 385 al. 1 CPP. Un tel défaut ne saurait justifier qu'un délai supplémentaire soit fixé au recourant pour compléter son recours en application de l'art. 385 al. 2 CPP. Le recours doit ainsi être déclaré irrecevable. Cela étant, à supposer recevable, le recours devrait de toute manière être rejeté. Il ressort des pièces annexées à la plainte d’H.________ que W.________ invoque une inexécution du contrat par le plaignant et la compensation, notamment, pour refuser d’exécuter certaines prestations. Le recourant ne cherche pas à démontrer qu’une infraction pénale aurait été commise et on ne voit au demeurant pas laquelle pourrait entrer en ligne de compte. En particulier, dès lors que des prestations ont été</w:t>
      </w:r>
    </w:p>
    <w:p>
      <w:r>
        <w:t>- 8 - fournies, l’hypothèse d’une escroquerie peut être écartée. C’est donc à juste titre que le Ministère public a considéré que le litige relevait uniquement du droit civil et qu’il a refusé d’entrer en matière sur la plainte pénale du recourant.</w:t>
      </w:r>
    </w:p>
    <w:p>
      <w:r>
        <w:rPr>
          <w:b/>
        </w:rPr>
        <w:t>E. 3</w:t>
      </w:r>
    </w:p>
    <w:p>
      <w:r>
        <w:t>Au vu de ce qui précède, le recours doit être déclaré irrecevable sans échange d’écritures (art. 390 al. 2 CPP). Les frais de la procédure de recours, constitués en l’espèce du seul émolument d’arrêt (art. 422 al. 1 CPP), par 770 fr. (art. 20 al. 1 TFIP [Tarif des frais de procédure et indemnités en matière pénale du 28 septembre 2010 ; BLV 312.03.1]), seront mis à la charge du recourant, qui doit être considéré comme ayant succombé (art. 428 al. 1 CPP). Par ces motifs, la Chambre des recours pénale prononce : I. Le recours est irrecevable. II. Les frais d’arrêt, par 770 fr. (sept cent septante francs), sont mis à la charge d’H.________. III. L’arrêt est exécutoire. La présidente : La greffière : Du Le présent arrêt, dont la rédaction a été approuvée à huis clos, est notifié, par l'envoi d'une copie complète, à : - M. H.________, - Ministère public central,</w:t>
      </w:r>
    </w:p>
    <w:p>
      <w:r>
        <w:t>- 9 - et communiqué à : - Mme la Procureure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