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PE21.022606 vom 17. Februar 2022</w:t>
      </w:r>
    </w:p>
    <w:p>
      <w:r>
        <w:t>VD Tribunal cantonal, 2022-02-17, FR</w:t>
      </w:r>
    </w:p>
    <w:p>
      <w:r>
        <w:rPr>
          <w:b/>
        </w:rPr>
        <w:t xml:space="preserve">Quelle: </w:t>
      </w:r>
      <w:r>
        <w:t>https://mcp.opencaselaw.ch/entscheid/vd_gerichte_PE21.022606</w:t>
      </w:r>
    </w:p>
    <w:p>
      <w:r>
        <w:t>FR: VD_GERICHTE PE21.022606 du 17 février 2022</w:t>
      </w:r>
    </w:p>
    <w:p>
      <w:r>
        <w:t>IT: VD_GERICHTE PE21.022606 del 17 febbraio 2022</w:t>
      </w:r>
    </w:p>
    <w:p>
      <w:pPr>
        <w:pStyle w:val="Heading2"/>
      </w:pPr>
      <w:r>
        <w:t>Volltext</w:t>
      </w:r>
    </w:p>
    <w:p>
      <w:r>
        <w:t>TRIBUNAL CANTONAL 137 PE21.022606-SOO CHAMBRE DE S RECO URS PEN ALE __________________________________________ Arrêt du 17 février 2022 __________________ Composition : Mme BYRDE, présidente Mme Fonjallaz et M. Perrot, juges Greffière : Mme Jordan ***** Art. 310, 385 CPP, 312 CP Statuant sur le recours interjeté le 4 février 2022 par R.________ contre l’ordonnance de non-entrée en matière rendue le 11 janvier 2022 par le Ministère public de l’arrondissement de Lausanne dans la cause n° PE21.022606-SOO, la Chambre des recours pénale considère : En fait : A. a) Par courrier du 22 décembre 2021, R.________ a déposé une plainte pénale contre le Juge de paix M.________ pour « abus d’autorité et entrave à l’action pénale soutenant calomnie, faux dans les titres, ainsi que contrainte et menaces, des personnes de l’organe "Centre social 351</w:t>
      </w:r>
    </w:p>
    <w:p>
      <w:r>
        <w:t>- 2 - régional de [...]" ». Il reproche en substance à ce magistrat d’avoir commis un « acte d’une hostilité extrême » à son encontre, en adressant un courrier, le 16 septembre 2021, à [...], médecin au sein d’Unisanté, pour obtenir des informations médicales à son sujet dans le cadre de l’enquête en institution d’une curatelle qu’il avait ouverte. Selon le plaignant, M.________ aurait ainsi soutenu les infractions commises par des employés du centre social régional précité à son encontre, infractions pour lesquelles il avait déposé plainte. b) Les plaintes pénales déposées par R.________ contre des employés du Centre social régional de [...] (ci-après : CSR) sont au nombre de trois et ont connu les sorts suivants : - Le 22 juillet 2021, R.________ a déposé plainte contre [...] pour « acte d’entrave ainsi que pour acte de contrainte et menace » (dossier PE21.013264). Par ordonnance du 12 octobre 2021, le Ministère public de l’arrondissement de Lausanne a refusé d’entrer en matière et le recours formé par R.________ contre cette décision a été déclaré irrecevable (CREP 10 novembre 2021/1030) ; - Le 10 octobre 2021, R.________ a déposé plainte contre [...] pour faux dans les titres et abus d’autorité (dossier PE21.017907). Par ordonnance du 1er décembre 2021, le Ministère public de l’arrondissement de Lausanne a refusé d’entrer en matière et le recours formé par R.________ contre cette décision a été déclaré irrecevable (CREP 9 mars 2022/6) ; - Le 26 septembre 2021, R.________ a déposé plainte contre [...] pour calomnie (dossier PE21.018096). Par ordonnance du 1er décembre 2021, le Ministère public de l’arrondissement de Lausanne a refusé d’entrer en matière. Le recours formé par R.________ a été rejeté dans la mesure où il était recevable (CREP 9 mars 2022/8).</w:t>
      </w:r>
    </w:p>
    <w:p>
      <w:r>
        <w:t>- 3 - B. Par ordonnance du 11 janvier 2022, le Ministère public de l’arrondissement de Lausanne a refusé d’entrer en matière sur la plainte déposée par R.________ le 22 décembre 2021 (I) et a mis les frais de sa décision, par 200 fr., à la charge du plaignant (II). La Procureure a retenu que malgré les mises en garde qui lui avaient été adressées, R.________ continuait à abreuver la justice de courriers peu clairs, verbeux et sans consistance, bien qu’il soit encore en attente du sort des recours qu’il avait déposés contre les ordonnances de non-entrée en matière rendues sur ses précédentes plaintes et alors que la procédure civile d’institution de curatelle suivait des normes légales strictes parmi lesquelles le droit d’obtenir des renseignements médicaux. Rien dans l’écrit du 22 décembre 2021, qui, en réalité, ne faisait que reprendre les griefs déjà formulés par le plaignant contre d’autres personnes dans d’autres plaintes, ne fondait le moindre soupçon de commission d’une infraction pénale par M.________. Quant aux frais de justice, ils devaient être mis à la charge de R.________, dont le comportement téméraire avait donné lieu à l’ouverture de la procédure. C. Par acte daté du 3 février 2022, déposé le lendemain, R.________ a recouru contre cette ordonnance auprès de la Chambre des recours pénale en concluant à son annulation, les frais de procédure étant laissés à la charge de l’Etat. Il a également requis l’annulation d’arrêts rendus par le Juge fédéral [...], la radiation d’un rapport de police, la révision de deux arrêts rendus par le Tribunal fédéral, l’annulation des « procédures pénales dans le canton du Valais et de Vaud ayant soutenu la calomnie de [...]» et la mise en œuvre de mesures provisionnelles « en application des art. 104 LTF, 261 CPC et 149 CPP ». Il a également demandé que « les conclusions civiles formées par adhésion aux plaintes pénales [soient] appliqu[ées] à la présente », que la dénonciation calomnieuse d’une collaboratrice du Tribunal fédéral soit portée devant un juge et que la compétence de la juridiction fédérale soit constatée compte tenu de cette infraction.</w:t>
      </w:r>
    </w:p>
    <w:p>
      <w:r>
        <w:t>- 4 - Il n’a pas été ordonné d’échange d’écritures.</w:t>
      </w:r>
    </w:p>
    <w:p>
      <w:r>
        <w:t>- 5 -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Les exigences de motivation du recours (art. 385 CPP) ont déjà été énoncées dans plusieurs arrêts rendus par la Chambre de céans à la suite de recours formés par R.________ dans d’autres procédures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1.3 En l’espèce, le recours a été interjeté en temps utile devant l’autorité compétente par la partie plaignante qui a qualité pour recourir (art. 382 al. 1 CPP). Toutefois, sont irrecevables les conclusions tendant à l’annulation ou la révision d’arrêts rendus par le Tribunal fédéral, à la radiation d’un rapport de police, à l’annulation des « procédures pénales dans le canton du Valais et de Vaud ayant soutenu la calomnie de [...]» et à la mise en œuvre de mesures provisionnelles, de même que les conclusions ayant pour objet des prétentions civiles, la prétendue dénonciation calomnieuse d’une collaboratrice du Tribunal fédéral et le</w:t>
      </w:r>
    </w:p>
    <w:p>
      <w:r>
        <w:t>- 6 - constat de la compétence de la juridiction fédérale. Ces conclusions ne relèvent en effet pas de la compétence de la Chambre des recours pénale. Par ailleurs, pour les raisons qui seront évoquées au considérant 2.3 ci- dessous, la motivation du recours, sous réserve d’un grief, ne satisfait pas aux conditions de forme prescrites par l’art. 385 al. 1 CPP. 2. 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w:t>
      </w:r>
    </w:p>
    <w:p>
      <w:r>
        <w:t>- 7 - pouvoir rendre une ordonnance de non-entrée en matière dans les cas où il apparaît d’emblée qu’aucun acte d’enquête ne pourra apporter la preuve d’une infraction à la charge d’une personne déterminée (TF 6B_541/2017 du 20 décembre 2017 consid. 2.2). 2.2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Seuls des cas importants de manquement à un devoir de fonction doivent être sanctionnés par l’infraction d’abus d’autorité, les infractions de moindre gravité devant être sanctionnées par la voie disciplinaire (Dupuis et al. [éd.], Petit commentaire, Code pénal, 2e éd., Bâle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6B_1222/2020 précité et les références citées). 2.3 En l’espèce, le recours est difficilement compréhensible. R.________ mélange les faits relatifs à toutes les procédures qui ont été ouvertes à la suite de ses plaintes. S’agissant de l’ordonnance ici</w:t>
      </w:r>
    </w:p>
    <w:p>
      <w:r>
        <w:t>- 8 - litigieuse, on comprend qu’il reproche au Juge de paix M.________ d’avoir ouvert une enquête en institution d’une curatelle en sa faveur à la suite du signalement du CSR et d’avoir interpellé Unisanté en violant son droit d’être entendu (recours, p. 8 ch. 7 et 8). Or, conformément à l’art. 443 al. 2 CC (Code civil suisse du 10 décembre 1907 ; RS 210), toute personne qui, dans l’exercice de sa fonction officielle, a connaissance d’une personne semblant avoir besoin d’aide est tenue d’en informer l’autorité si elle ne peut pas remédier à la situation dans le cadre de son activité. Le juge de paix, en qualité d’autorité de protection de l’adulte, est tenu de donner suite au signalement et d’établir les faits d’office (art. 446 al. 1 CC). En l’occurrence, M.________ n’a pas usé de façon non permise de ses pouvoirs officiels : sa démarche consistant à interpeller Unisanté entre manifestement dans le cadre de l’enquête qu’il diligente. On ne distingue aucun abus de pouvoir ni même un simple manquement à ses devoirs de fonction. Quant à une éventuelle violation du droit d’être entendu du recourant par ce magistrat, elle doit être soulevée dans le cadre de l’enquête instruite par ce juge de paix et ne saurait être constitutive d’une infraction pénale. Pour le surplus, le recourant réitère des griefs qu’il a déjà formés contre les employés du CSR concernés par les plaintes qu’il a déposées pour calomnie, contrainte, menace et faux dans les titres (recours, p. 8 ch. 4 et 5). Ces griefs sont irrecevables dès lors qu’ils ont pour objet d’autres procédures et qu’ils ne concernent pas directement le juge de paix incriminé. On ne distingue par surabondance aucun élément qui permettrait d’envisager l’application de l’une de ces infractions dans le cas présent. Enfin, le recourant se contente d’affirmer qu’il aurait démontré le bien fondé de ses accusations et de contester l’appréciation du Ministère public en invoquant une violation de son droit d’être entendu sans développer ce grief.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w:t>
      </w:r>
    </w:p>
    <w:p>
      <w:r>
        <w:t>- 9 - CREP 2 novembre 2021/997 ; CREP 10 novembre 2021/1030 ; CREP 12 novembre 2021/1034). 3. Il résulte de ce qui précède que le recours, manifestement mal fondé, doit être rejeté, dans la mesure de sa recevabilité, sans échange d’écritures (art. 390 al. 2 CPP), et l’ordonnance attaquée confirmée. Les frais de procédure, constitués en l’espèce du seul émolument d’arrêt (art. 422 al. 1 CPP), par 880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11 janvier 2022 est confirmée. III. Les frais d’arrêt, par 880 fr. (huit cent huitante francs), sont mis à la charge de R.________. IV. L’arrêt est exécutoire. La présidente : La greffière : Du Le présent arrêt, dont la rédaction a été approuvée à huis clos, est notifié, par l'envoi d'une copie complète, à : - M. R.________, - Ministère public central,</w:t>
      </w:r>
    </w:p>
    <w:p>
      <w:r>
        <w:t>- 10 -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