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PE21.022304 vom 11. Februar 2022</w:t>
      </w:r>
    </w:p>
    <w:p>
      <w:r>
        <w:t>VD Tribunal cantonal, 2022-02-11, FR</w:t>
      </w:r>
    </w:p>
    <w:p>
      <w:r>
        <w:rPr>
          <w:b/>
        </w:rPr>
        <w:t xml:space="preserve">Quelle: </w:t>
      </w:r>
      <w:r>
        <w:t>https://mcp.opencaselaw.ch/entscheid/vd_gerichte_PE21.022304</w:t>
      </w:r>
    </w:p>
    <w:p>
      <w:r>
        <w:t>FR: VD_GERICHTE PE21.022304 du 11 février 2022</w:t>
      </w:r>
    </w:p>
    <w:p>
      <w:r>
        <w:t>IT: VD_GERICHTE PE21.022304 del 11 febbraio 2022</w:t>
      </w:r>
    </w:p>
    <w:p>
      <w:pPr>
        <w:pStyle w:val="Heading2"/>
      </w:pPr>
      <w:r>
        <w:t>Erwägungen</w:t>
      </w:r>
    </w:p>
    <w:p>
      <w:r>
        <w:rPr>
          <w:b/>
        </w:rPr>
        <w:t>E. 4</w:t>
      </w:r>
    </w:p>
    <w:p>
      <w:r>
        <w:t>Il y a lieu de traiter en premier lieu l’appel joint, dont l’admission rendrait sans objet les conclusions de l’appel principal, qui porte sur une violation de l’art. 429 CPP. A cet égard, l’appelante, qui conclut au rejet de l’appel joint, fait valoir que le Ministère public a retiré son appel principal mais a déposé un appel joint à la suite de son propre appel. L’appelante y voit un comportement contradictoire, contraire au principe de la bonne foi donc prohibé. Elle se réclame de l’arrêt paru aux ATF 147 IV 505. On ne saurait suivre ce raisonnement. Dans cet arrêt, le Tribunal fédéral a jugé contradictoire la démarche de l’accusateur public consistant à tenter d’obtenir une aggravation de la peine du prévenu par un appel joint alors qu’il avait obtenu l’adjudication de ses réquisitions en première instance. Ce n’est pas le cas d’espèce et cette jurisprudence n’est d’aucune aide à l’appelante. Peu importent pour le surplus les motifs pour lesquels le Ministère public a décidé de retirer l’appel qu’il avait interjeté contre le jugement litigieux.</w:t>
      </w:r>
    </w:p>
    <w:p>
      <w:r>
        <w:rPr>
          <w:b/>
        </w:rPr>
        <w:t>E. 5.1</w:t>
      </w:r>
    </w:p>
    <w:p>
      <w:r>
        <w:t>L’appelant par voie de jonction reproche au premier juge d’avoir mis P.________ au bénéfice de l’erreur sur l’illicéité.</w:t>
      </w:r>
    </w:p>
    <w:p>
      <w:r>
        <w:t>- 9 -</w:t>
      </w:r>
    </w:p>
    <w:p>
      <w:r>
        <w:rPr>
          <w:b/>
        </w:rPr>
        <w:t>E. 5.2</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Déterminer ce que l'auteur d'une infraction a su, cru ou voulu et, en particulier, l'existence d'une erreur relève de l'établissement des faits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6B_524/2016 du 13 février 2017 consid. 1.3.2; TF 6B_1102/2015 du 20 juillet 2016 consid. 4.1). Pour exclure l'erreur de droit, il suffit que l'auteur ait eu le sentiment de faire quelque chose de contraire à ce qui se doit ou qu'il eût dû avoir ce sentiment (ATF 104 IV 217 consid. 2 p. 218; TF 6B_524/2016 du 13 février 2017 consid. 1.3.2). Toutefois, la possibilité théorique d'apprécier correctement la situation ne suffit pas à exclure l'application de l'art. 21, 1re phrase, CP. Ce qui est déterminant, c'est de savoir si l'erreur de l'auteur peut lui être reprochée (ATF 116 IV 56 consid. II.3a p. 68; TF 6B_784/2018 du 4 octobre 2018 consid. 1.1.2).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ATF 98 IV 293 consid. 4a p. 303; TF 6B_403/2013 du 27 juin 2013 consid. 1.1). La tolérance constante de l'autorité – administrative ou pénale – à l'égard d'un comportement illicite déterminé peut, dans</w:t>
      </w:r>
    </w:p>
    <w:p>
      <w:r>
        <w:t>- 10 -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p. 210; TF 6S.46/2002 du 24 mai 2002 consid. 4b, publié in SJ 2002 I 441; Trechsel/Jean-Richard, Schweizerisches Strafgesetzbuch, Praxiskommentar, 3e éd., 2018, n° 9 ad art. 21 CP).</w:t>
      </w:r>
    </w:p>
    <w:p>
      <w:r>
        <w:rPr>
          <w:b/>
        </w:rPr>
        <w:t>E. 5.3</w:t>
      </w:r>
    </w:p>
    <w:p>
      <w:r>
        <w:t>Dans le cas particulier, l’appelante a opposé à l’injonction d’une collaboratrice du magasin de porter un masque une « attestation » provenant d’un juriste – et non d’un médecin – exposant qu’elle était dispensée de porter un masque de protection. Cette attestation, produite au dossier préfectoral, expose la position juridique d’un juriste. Elle est définie par son auteur « comme un document de résistance pacifique pour tous ceux qui veulent se libérer de l’ordonnance fédérale concernant l’obligation du port du masque ». On lit également que les mesures entreprises ensuite de la pandémie sont assimilée à un « coup d’Etat orchestré par le Conseil fédéral ». Enfin, l’attestation est délivrée pour toutes les personnes qui disent avoir « plusieurs raisons non médicales de ne pas porter de masque facial ». Il ressort de l’état de fait du jugement que l’appelante estimait devoir être exemptée du port du masque en raison de cette attestation. Pour l’avoir lue, l’appelante comprenait que cette attestation contrecarrait les mesures sanitaires mises en place pour lutter contre la pandémie de COVID-19 pour des raisons idéologiques suivant une vision unilatérale d’un juriste. A la question de savoir pourquoi elle se sentait en droit de faire ses courses sans porter un masque, elle a répondu que c’était son droit d’aller acheter des choses dans les magasins, qu’elle était en bonne santé et qu’elle ne vivait pas « à l’époque des nazis » (jugt, p. 5).</w:t>
      </w:r>
    </w:p>
    <w:p>
      <w:r>
        <w:t>- 11 - Il faut ainsi retenir que l’appelante a refusé de porter un masque par pure convenance personnelle. Et ce sont ses convictions qui l’ont amenée à enfreindre une législation qu’elle connaissait mais qu’elle jugeait liberticide. Il s’ensuit qu’elle n’avait pas de raisons suffisantes de se croire en droit d’agir. Le fait qu’elle ait pu obtenir, par la suite, une attestation médicale la dispensant de porter un masque n’y change rien, puisque ce ne sont pas pour ces motifs qu’elle a refusé de porter le masque au moment des faits. N’est pas non plus déterminant le fait que la réceptionniste ou responsable temporaire – qui ne pouvait apparemment en référer au gérant absent à ce moment-là – n’ait pas formellement interdit l’accès au magasin à l’appelante, puisque, de l’aveu de cette dernière, la collaboratrice du magasin a refusé de signer l’attestation que la prévenue lui avait remise car elle ne comprenait pas son contenu (jugt, p. 5) ; d’ailleurs, ce document comporte une rubrique en bas à droite par laquelle son destinataire est censé indiquer qu’après lecture, il contraint néanmoins le détenteur de l’attestation à porter un masque. La prévenue ne pouvait, pour ces motifs également, s’estimer en droit de pénétrer dans les lieux sans masque. Enfin, dans la mesure où, lorsqu’elle a été interpellée par la police, elle a prétendu que les dispositions fédérales et cantonales ne s’appliquaient pas à elle (rapport de dénonciation, p. 2), elle est mal venue de soutenir maintenant que si un refus lui avait été signifié à l’entrée du magasin par la responsable, elle n’aurait pas insisté et serait partie (mémoire complémentaire, p. 4) ; cet argument n’est quoi qu’il en soit pas pertinent. En conclusion, c’est à tort que le premier juge a mis l’appelante au bénéfice de l’erreur sur l’illicéité. Il s’ensuit que la prévenue doit être condamnée pour violation de la loi sur les épidémies, pour n’avoir pas porté de masque facial lorsqu’elle a pénétré dans le magasin [...] pour y faire ses courses, le 10 septembre 2021 à 11h00, alors qu’elle en avait l’obligation selon les normes exposées ci-avant (cf. consid. 3.3 supra), étant pour le surplus relevé que nul ne peut se soustraire à la loi au motif qu’il est en désaccord avec son contenu. En outre, dès lors que l’appelante a produit une</w:t>
      </w:r>
    </w:p>
    <w:p>
      <w:r>
        <w:t>- 12 - attestation de dispense de port du masque établie pour des motifs de pure convenance personnelle comme on l’a vu, elle ne peut se prévaloir de l’exemption de l’art. 6 al. 2 let. b de l’ordonnance COVID-19 situation particulière, qui prévoit que peuvent être exemptées de cette obligation les personnes pouvant attester qu’elles ne peuvent pas porter de masque facial pour des raisons particulières, notamment médicales, l’art. 5 al. 1 let. b s’appliquant à l’attestation médicale.</w:t>
      </w:r>
    </w:p>
    <w:p>
      <w:r>
        <w:rPr>
          <w:b/>
        </w:rPr>
        <w:t>E. 6</w:t>
      </w:r>
    </w:p>
    <w:p>
      <w:r>
        <w:t>Par conséquent, l’appel joint du Ministère public doit être admis, ce qui entraîne le rejet de l’appel principal, dès lors que, condamnée, l’appelante ne peut pas prétendre à une indemnité fondée sur l’art. 429 CPP (art. 429 al. 1 let. a CPP a contrario).</w:t>
      </w:r>
    </w:p>
    <w:p>
      <w:r>
        <w:rPr>
          <w:b/>
        </w:rPr>
        <w:t>E. 7</w:t>
      </w:r>
    </w:p>
    <w:p>
      <w:r>
        <w:t>P.________ doit être sanctionnée pour contravention (cf. art. 83 al. 1 let. j LEp précité). En application de l'art. 106 CP, il convient de lui infliger une amende de 100 fr., au vu de sa situation financière. La peine privative de liberté de substitution en cas de non-paiement fautif de cette amende sera de 1 jour. Vu la condamnation de P.________, les frais de la procédure de première instance, arrêtés en équité à 400 fr. correspondant à 1 heure d’audience (art. 19 al. 3 TFIP [tarif des frais de procédure et indemnités en matière pénale du 28 septembre 2010 ; RSV 312.03.1]), seront mis à sa charge (art. 426 al. 1 CPP).</w:t>
      </w:r>
    </w:p>
    <w:p>
      <w:r>
        <w:rPr>
          <w:b/>
        </w:rPr>
        <w:t>E. 8</w:t>
      </w:r>
    </w:p>
    <w:p>
      <w:r>
        <w:t>En définitive, l’appel joint interjeté par le Ministère public doit être admis et l’appel de P.________ rejeté. Le jugement entrepris sera réformé dans le sens des considérants qui précèdent. Vu le sort de la présente procédure, les frais d’appel, comprenant uniquement l’émolument d’arrêt, par 990 fr. (art. 21 al. 1</w:t>
      </w:r>
    </w:p>
    <w:p>
      <w:r>
        <w:t>- 13 - TFIP), doivent être mis à la charge de P.________,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