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PE21.022158 vom 11. Mai 2022</w:t>
      </w:r>
    </w:p>
    <w:p>
      <w:r>
        <w:t>VD Tribunal cantonal, 2022-05-11, FR</w:t>
      </w:r>
    </w:p>
    <w:p>
      <w:r>
        <w:rPr>
          <w:b/>
        </w:rPr>
        <w:t xml:space="preserve">Quelle: </w:t>
      </w:r>
      <w:r>
        <w:t>https://mcp.opencaselaw.ch/entscheid/vd_gerichte_PE21.022158</w:t>
      </w:r>
    </w:p>
    <w:p>
      <w:r>
        <w:t>FR: VD_GERICHTE PE21.022158 du 11 mai 2022</w:t>
      </w:r>
    </w:p>
    <w:p>
      <w:r>
        <w:t>IT: VD_GERICHTE PE21.022158 del 11 maggio 2022</w:t>
      </w:r>
    </w:p>
    <w:p>
      <w:pPr>
        <w:pStyle w:val="Heading2"/>
      </w:pPr>
      <w:r>
        <w:t>Erwägungen</w:t>
      </w:r>
    </w:p>
    <w:p>
      <w:r>
        <w:rPr>
          <w:b/>
        </w:rPr>
        <w:t>E. 1</w:t>
      </w:r>
    </w:p>
    <w:p>
      <w:r>
        <w:t>Originaire d’Yverdon-les-Bains, T.________ est né le [...] 1974 à [...] au Kosovo. Maçon de formation, il est titulaire de l’entreprise indivi- duelle [...], dont le siège est à [...]. Dans le cadre de son activité d’indépendant, le prévenu construit des piscines et exécute des travaux de maçonnerie. Il a actuellement un employé déclaré et au bénéfice d’un permis C. En 2020, il a été taxé sur un revenu net de 34’563 fr., soit 2’880 fr. par mois. Aux débats de première instance, il a chiffré ses gains à un montant de l’ordre de 4'000 à 4'500 fr. par mois. Divorcé, le prévenu est le père d’une fille de 16 ans, qui vit avec sa mère et pour laquelle il verse</w:t>
      </w:r>
    </w:p>
    <w:p>
      <w:r>
        <w:t>- 7 - une pension de 750 fr. par mois. Le prévenu vit seul dans un appartement, dont le loyer s’élève à 1'000 fr. par mois. Sa prime mensuelle d’assurance-maladie est de 360 francs. Selon ses dires, il paye environ 8'000 fr. d’impôts par année. Il fait l’objet de six actes de défaut de biens pour un montant total de 2'989 fr. 60. L’extrait du casier judiciaire suisse d’T.________ comporte les trois condamnations suivantes : - 27 novembre 2013 : Tribunal de police de l’arrondissement de la Broye et du Nord vaudois, peine pécuniaire de 120 jours-amende à 30 fr. le jour avec sursis pendant 4 ans, révoqué le 13 mars 2017, pour incitation à l’entrée, à la sortie ou au séjour illégal et emploi d’étrangers sans autorisation ; - 13 mars 2017 : Tribunal de police de l’arrondissement la Broye et du Nord vaudois, peine pécuniaire de 60 jours-amende à 50 fr., pour emploi répété d’étrangers sans autorisation ; - 31 janvier 2020 : Tribunal de police de l’arrondissement de la Broye et du Nord vaudois, peine pécuniaire de 150 jours-amende à 30 fr., pour emploi répété d’étrangers sans autorisation.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3.1</w:t>
      </w:r>
    </w:p>
    <w:p>
      <w:r>
        <w:t>Faisant valoir que sa culpabilité ne peut être qualifiée d’importante, l’appelant conteste la peine prononcée par le premier juge et requiert le prononcé d’une peine pécuniaire avec sursis. Il explique qu’il est difficile de recruter de la main-d’œuvre dans le domaine du bâtiment, qu’il a déclaré H.________ aux assurances sociales, qu’il a entrepris les démarches administratives pour le régulariser, que son employé était au bénéfice d’un contrat de travail et qu’il n’emploie plus d’ouvriers étrangers ne bénéficiant pas de permis de travail. Il allègue encore avoir pleinement collaboré et s’être auto-incriminé.</w:t>
      </w:r>
    </w:p>
    <w:p>
      <w:r>
        <w:t>- 9 -</w:t>
      </w:r>
    </w:p>
    <w:p>
      <w:r>
        <w:rPr>
          <w:b/>
        </w:rPr>
        <w:t>E. 3.2.1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w:t>
      </w:r>
    </w:p>
    <w:p>
      <w:r>
        <w:rPr>
          <w:b/>
        </w:rPr>
        <w:t>E. 3.2.2</w:t>
      </w:r>
    </w:p>
    <w:p>
      <w:r>
        <w:t>Selon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t>- 10 -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6B_471/2020 du 24 septembre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ATF 134 IV 1 consid. 4.2.2 ; TF 6B_471/2020 du 24 septembre 2020 consid. 2.1). Dans l’émission du pronostic, le juge dispose d’un large pouvoir d’appréciation (ATF 145 IV 137 consid. 2.2).</w:t>
      </w:r>
    </w:p>
    <w:p>
      <w:r>
        <w:rPr>
          <w:b/>
        </w:rPr>
        <w:t>E. 3.3</w:t>
      </w:r>
    </w:p>
    <w:p>
      <w:r>
        <w:t>L’appelant s’est rendu coupable d’emploi répété d’étrangers sans autorisation (art. 117 al. 1 et 2 LEI [Loi fédérale sur les étrangers ; RS 142.20]), passible d’une peine privative de liberté de trois ans au plus ou d’une peine pécuniaire, une peine pécuniaire devant également être prononcée en cas de peine privative de liberté. La peine privative de liberté de 8 mois prononcée par le premier juge, fixée selon les critères légaux et conformément à la culpabilité d’T.________, tient compte des éléments à décharge invoqués par l’appelant et doit être confirmée. En effet, au vu de ses antécédents et de l’engagement d’H.________ qui a duré plus de trois ans, la culpabilité d’T.________ n’est pas négligeable. Le prévenu a employé un ouvrier qui n’avait pas l’autorisation de travailler en Suisse, alors qu’il avait déjà été condamné à trois reprises entre 2013 et 2020 pour des agissements du même type, persistant ainsi à contourner et à s’affranchir des dispositions légales applicables au séjour et au travail d’ouvriers étrangers en Suisse. De plus, sa condamnation du 13 mars 2017 concernait déjà H.________ et il</w:t>
      </w:r>
    </w:p>
    <w:p>
      <w:r>
        <w:t>- 11 - a continué à employer cet ouvrier après le contrôle de chantier auquel il a été soumis le 13 octobre 2021. La Cour de céans peine à comprendre pour quelle raison le prévenu n’aurait pas été en mesure de trouver un ouvrier autorisé à travailler légalement en Suisse et ses explications au sujet des difficultés liées au Covid-19 paraissent peu crédibles. A décharge, il sera tenu compte de sa bonne collaboration, T.________ ayant admis les faits et s’étant auto-incriminé, reconnaissant des faits allant au-delà de la dénonciation initiale du Service de l’emploi. Il peut aussi être donné acte au prévenu qu’il a conclu un contrat de travail avec l’employé en question et qu’il l’a annoncé aux assurances sociales, aucune infraction à la législation sociale ne lui étant au demeurant reprochée. Quant au fait qu’il n’emploie plus d’ouvriers étrangers ne disposant pas d’autorisation, il ne constitue pas un élément à décharge, mais seulement un comportement normal que l’on est en droit d’attendre de sa part. Une peine privative de liberté s’impose pour sanctionner l’infraction commise pour des motifs de prévention spéciale, les trois peines pécuniaires prononcées précédemment à son encontre pour la même infraction étant demeurées sans effet sur son comportement délictueux et l’infraction commise ayant duré plus de trois ans. Aussi, le prononcé d’une peine privative de liberté de 8 mois est adéquat et justifié. T.________ ayant persisté à engager des ouvriers étrangers ne disposant pas d’autorisation de travail malgré les deux peines pécuniaires fermes prononcées à son encontre pour la même infraction, le pronostic doit être qualifié de défavorable, de sorte qu’il ne répond pas aux conditions du sursis et que la peine sera ferme. Au reste, l’Office d’exécution des peines tiendra compte de la situation professionnelle de l’appelant au moment de définir les modalités d’exécution de cette peine privative de liberté, T.________ pouvant prétendre, au vu de la quotité de la peine prononcée, au régime de la semi-détention, voire à celui de la surveillance électronique.</w:t>
      </w:r>
    </w:p>
    <w:p>
      <w:r>
        <w:t>- 12 - La peine pécuniaire de 40 jours-amende à 40 fr. le jour prononcée en application de l’art. 117 al. 2 LEI, partiellement complémentaire à celle prononcée le 31 janvier 2020 par le Tribunal de police l’arrondissement de la Broye et du Nord vaudois, tient compte de la situation personnelle et économique du prévenu, de sorte qu’elle est adéquate et doit être confirmée.</w:t>
      </w:r>
    </w:p>
    <w:p>
      <w:r>
        <w:rPr>
          <w:b/>
        </w:rPr>
        <w:t>E. 4</w:t>
      </w:r>
    </w:p>
    <w:p>
      <w:r>
        <w:t>En définitive, l’appel interjeté par T.________ doit être rejeté et le jugement entrepris confirmé. Vu l’issue de la cause, les frais de la procédure d'appel, constitués en l’espèce du seul émolument de jugement, par 1'170 fr. (art. 21 al. 1 et 2 TFIP [Tarif des frais de procédure et indemnités en matière pénale du 28 septembre 2010 ; BLV 312.03.1]), seront mis à la charge d’T.________,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