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PE21.022098 vom 3. März 2023</w:t>
      </w:r>
    </w:p>
    <w:p>
      <w:r>
        <w:t>VD Tribunal cantonal, 2023-03-03, FR</w:t>
      </w:r>
    </w:p>
    <w:p>
      <w:r>
        <w:rPr>
          <w:b/>
        </w:rPr>
        <w:t xml:space="preserve">Quelle: </w:t>
      </w:r>
      <w:r>
        <w:t>https://mcp.opencaselaw.ch/entscheid/vd_gerichte_PE21.022098</w:t>
      </w:r>
    </w:p>
    <w:p>
      <w:r>
        <w:t>FR: VD_GERICHTE PE21.022098 du 3 mars 2023</w:t>
      </w:r>
    </w:p>
    <w:p>
      <w:r>
        <w:t>IT: VD_GERICHTE PE21.022098 del 3 marzo 2023</w:t>
      </w:r>
    </w:p>
    <w:p>
      <w:pPr>
        <w:pStyle w:val="Heading2"/>
      </w:pPr>
      <w:r>
        <w:t>Erwägungen</w:t>
      </w:r>
    </w:p>
    <w:p>
      <w:r>
        <w:rPr>
          <w:b/>
        </w:rPr>
        <w:t>E. 8</w:t>
      </w:r>
    </w:p>
    <w:p>
      <w:r>
        <w:t>décembre 2021, frappé N.________ au visage, ensuite de quoi ce dernier lui a donné plusieurs claques au visage et sur la tête. Le lendemain, selon le chiffre 3 de l’acte d’accusation, il a empoigné sa compagne par les cheveux, lui a serré la tête et lui a tordu la nuque. S’agissant du chiffre 2 de l’acte d’accusation, la Cour de céans relèvera tout d’abord que, contrairement à ce qu’a retenu le premier juge, la légitime défense n’entre pas en ligne de compte puisque l’appelant n’a pas agi pour se défendre mais pour riposter au coup que lui avait porté sa compagne. Il ne saurait dès lors bénéficier de ce fait justificatif. Pour le reste, l’appelant admet les faits, lesquels sont constitutifs de voies de fait. Cela étant, les deux épisodes distincts décrits ci-dessus ne suffisent pas à retenir que l’appelant a agi à réitérées reprises au sens de l’art. 126 al. 2 CP, de sorte que la poursuite ne peut avoir lieu d’office. A.S.________ ayant retiré sa plainte, il convient, par conséquent, de libérer l’appelant s’agissant des faits mentionnés sous chiffres 2 et 3 de l’acte d’accusation. 4. Invoquant une constatation erronée des faits, l’appelant conteste sa condamnation pour injure et menaces en lien avec les faits décrits sous chiffre 5 de l’acte d’accusation (cf. supra En fait, C. 2.1). Il admet avoir envoyé des messages injurieux mais explique qu’il était désespéré de ne plus voir ses enfants. De plus, il affirme avoir rédigé de nombreux messages en réaction à ceux qu’il avait lui-même reçus de son ex-compagne, de sorte que le premier juge aurait dû faire application des al. 2 et 3 de l’art. 177 CP. Enfin, s’agissant des menaces, il soutient que les intimés n’auraient pas été effrayés au sens l’art. 180 CP.</w:t>
      </w:r>
    </w:p>
    <w:p>
      <w:r>
        <w:t>- 17 - 4.1 4.1.1 L'art. 177 al. 2 CP prévoit que le juge pourra exempter le délinquant de toute peine si l'injurié a directement provoqué l'injure par une conduite répréhensible. Il est toutefois impératif, pour bénéficier de l'exemption de peine, que l'injure soit une réaction immédiate à un comportement répréhensible de l'injurié, lequel peut consister en une provocation ou en tout autre comportement blâmable (ATF 117 IV 270 consid. 2c ; TF 6B_938/2017 du 2 juillet 2018 consid. 5.3.2 et les références citées). Si l’injurié a riposté immédiatement par une injure ou par des voies de fait, le juge pourra exempter de toute peine les deux délinquants ou l’un d’eux (art. 177 al. 3). Dans le contexte de cette disposition, la notion d'immédiateté, qui ressort expressément du texte légal, doit être comprise comme une notion de temps dans le sens que l'auteur doit avoir agi sous le coup de l'émotion provoquée par la conduite répréhensible de l'injurié, sans avoir eu le temps de réfléchir tranquillement (ATF 83 IV 151 ; 6B_826/2019 du 21 janvier 2020 consid. 4 ; TF 6B_938/2017 du 2 juillet 2018 consid. 5.3.2). 4.1.2 Selon l’art. 180 al. 1 CP, celui qui, par une menace grave, aura alarmé ou effrayé une personne sera, sur plainte, puni d’une peine privative de liberté de trois ans au plus ou d’une peine pécuniaire.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6B_1054/2021 du 11 mars 2022 consid. 3.1), ni que l’auteur ait réellement la volonté de réaliser sa menace (ATF 122 IV 322 consid. 1a ; ATF 105 IV 120 consid. 2a, JdT 1980 IV 115 ; TF 6B_1054/2021 précité). Toute menace ne tombe pas sous le coup de l’art. 180 CP. La loi exige en effet que la menace soit grave. C’est le cas si elle est objectivement de nature à alarmer ou à effrayer la victime. Il convient à cet égard de tenir compte de</w:t>
      </w:r>
    </w:p>
    <w:p>
      <w:r>
        <w:t>- 18 - la réaction qu’aurait une personne raisonnable face à une situation identique (ATF 122 IV 97 précité ; TF 6B_1054/2021 précité ; TF 6B_1314/2018 du 29 janvier 2019 consid. 3.2.1). Les menaces de lésions corporelles graves ou de mort doivent être considérées comme des menaces graves au sens de l’art. 180 CP (TF 6B_787/2018 du 1er octobre 2018 consid. 3.1 ; TF 6B_1428/2016 du 3 octobre 2017 consid. 2.1 et la référence citée).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 vol. I, 3e éd., n. 8 ad art. 180 CP). Il faut en outre que la victime ait été effectivement alarmée ou effrayée. Celle-ci doit craindre que le préjudice annoncé se réalise. Cela implique, d’une part, qu’elle le considère comme possible et, d’autre part, que ce préjudice soit d’une telle gravité qu’il suscite de la peur. Cet élément constitutif de l’infraction, qui se rapporte au contenu des pensées d’une personne, relève de l’établissement des faits (ATF 135 IV 152 consid. 2.3.2 ; ATF 119 IV 1 consid. 5a ; TF 6B_1054/2021 précité). Subjectivement, l'auteur doit avoir l'intention non seulement de proférer des menaces graves, mais aussi d'alarmer ou d'effrayer le destinataire. Le dol éventuel suffit (TF 6B_508/2021 du 14 janvier 2022 consid. 2.1 ; TF 6B_135/2021 du 27 septembre 2021 consid. 3.1 ; TF 6B_1314/2018 précité). 4.2 Il résulte des pièces au dossier, en particulier celles versées sous pièce 18/2, qu’entre l’appelant et A.S.________, les insultes étaient réciproques. On ne saurait toutefois faire application de l’art. 177 al. 2 et 3 CP, tant celles-ci étaient nombreuses et ont perduré dans le temps. Par ailleurs, elles ont été échangées par courriels ou via Whatsapp, ce qui réduit l’immédiateté de la réaction et devrait, en principe, permettre un</w:t>
      </w:r>
    </w:p>
    <w:p>
      <w:r>
        <w:t>- 19 - temps de réflexion. Au vu de ce contexte, on ne saurait donc considérer que l’appelant a agi, de manière immédiate, sous le coup d’une émotion. Partant, sa condamnation pour injure doit être confirmée. S’agissant des menaces décrites sous chiffre 5 de l’acte d’accusation, lors des débats de première instance, A.S.________ a confirmé avoir été effrayée par les messages reçus de l’appelant (cf. jgt, pp. 9 et 10). Elle a également exprimé ses craintes au cours de l’instruction, notamment dans son courrier du 5 octobre 2022 (P. 18/1 ; « […] je me barricadais chez moi suite à ses menaces, afin que je puisse dormir « sans crainte », sachant qu’il avait encore les clés […] »). De plus, dans son rapport du 13 août 2022, la police a relevé que, selon ses déclarations, l’intimée avait été menacée de mort et que l’appelant se présentait souvent en bas de son immeuble ou de celui de ses parents, « ce qui ne la rassur[ait] pas » (P. 11, p. 3). De son côté, Q.________ a confirmé les craintes de son amie, en particulier dans son courrier du 3 septembre 2022 (P. 17/1), dans lequel a indiqué que cette dernière vivait des « moments de peur et d’angoisse » et qu’il l’avait vue « barricader sa porte de peur que [l’appelant] n’essaie d’entrer ». Il a en outre déclaré, lors des débats d’appel, qu’il avait discuté avec l’intimée des messages en question et que celle-ci avait peur. Il a précisé : « C’était très difficile pour Mme A.S.________ » (cf. supra p. 4). Il a également confirmé, tant en première instance qu’en appel, qu’il avait lui-même également eu peur de ces messages (cf. jgt, p. 11 ; supra p. 4). Enfin, la Cour de céans relèvera que la nature des propos tenus par l’appelant (cf. supra pp. 10 et 11) était suffisamment inquiétante, au vu de l’impulsivité de ce dernier, pour constituer une menace grave et susciter une peur légitime chez les intimés. Il n’existe ainsi aucun doute sur le fait que tant Q.________ que A.S.________ ont été effectivement effrayés par les messages de l’appelant. Il s’ensuit que la condamnation d’N.________ pour menaces et menaces qualifiées doit être confirmée.</w:t>
      </w:r>
    </w:p>
    <w:p>
      <w:r>
        <w:t>- 20 - 5. L’appelant conteste le genre et la quotité des peines prononcées. Il soutient qu’une peine pécuniaire aurait dû être préférée à une peine privative de liberté et qu’elle ne devrait pas excéder 60 jours- amende à 50 fr. le jour. 5.1 5.1.1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5.1.2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w:t>
      </w:r>
    </w:p>
    <w:p>
      <w:r>
        <w:t>- 21 -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 5.1.3 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t>- 22 -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147 IV 241 consid. 3.2 et les références citées ; ATF 144 IV 313 consid. 1.1.1 et les références citées ; TF 6B_1398/2022 du 12 mai 2023 consid. 2.1). 5.2 L’appelant doit être condamné pour lésions corporelles simples, dommages à la propriété, injure, menaces et menaces qualifiées. Sa culpabilité est lourde. Certes, les faits se sont déroulés, pour l’essentiel, dans le cadre d’une séparation houleuse, émaillée de violences verbales et physiques réciproques, mais il n’en demeure pas moins que l’appelant a agi à plusieurs reprises, tant à l’égard de son ex-compagne que du nouvel ami de celle-ci, dans la durée, et ceci même après l’ouverture de la présente procédure pénale. Son comportement était égoïste. On relèvera toutefois, outre le contexte passionnel évoqué ci-dessus, que l’appelant a admis les faits, qu’il a probablement souffert d’avoir été empêché, durant un certain temps, de voir ses enfants et qu’il n’a pas d’antécédents, même s’il faut rappeler que ce dernier élément est neutre du point de vue de la fixation de la peine (ATF 141 IV 61 consid. 6.3.2 ; TF 6B_938/2019 du 18 novembre 2019 consid. 3.3). Les lésions corporelles simples justifient, pour des motifs de prévention spéciale, le prononcé d’une peine privative de liberté. En effet, l’appelant s’en est pris à un homme, qui ne l’avait aucunement provoqué</w:t>
      </w:r>
    </w:p>
    <w:p>
      <w:r>
        <w:t>- 23 - et qui n’avait rien à voir avec sa séparation. De plus, son comportement est inquiétant, dans la mesure où il semble avoir de la peine à contenir son impulsivité. Celle-ci a d’ailleurs été constatée tant par le premier juge (cf. jgt, p. 42) que par la Cour de céans, l’appelant ayant à plusieurs reprises interrompu, de façon parfois véhémente, les prises de parole de l’intimé et de son conseil. Il a de plus agi alors qu’il se savait faire l’objet d’une procédure pénale. Compte tenu de sa culpabilité, l’infraction de lésions corporelles simples doit être sanctionnée d’une peine privative de liberté de 3 mois. S’agissant des autres infractions, une peine pécuniaire sera prononcée. Elle sera fixée à 90 jours-amende, soit 45 jours-amende pour les menaces et menaces qualifiées, 30 jours-amende pour les injures et 15 jours-amende pour les dommages à la propriété. Au vu de la situation financière et personnelle de l’appelant, le montant du jour- amende sera de 30 francs. Les conditions objectives et subjectives du sursis sont réalisées (art. 42 al. 1 CP). Le délai d’épreuve fixé en première instance à quatre ans doit être confirmé dès lors qu’il convient de s’assurer, compte tenu du comportement violent et de l’impulsivité de l’appelant, qu’il renonce sur le long terme à commettre de nouvelles infractions (art. 44 al. 1 CP). 6. L’appelant conteste les conclusions civiles allouées par le premier juge. D’une part, aucune indemnité pour tort moral ne devrait être octroyée à A.S.________ et, d’autre part, Q.________ devrait voir la sienne réduite à 500 francs. 6.1 Aux termes de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l'intéressé et de la possibilité d'adoucir sensiblement, par le versement d'une somme d'argent, la douleur morale qui en résulte. Sa</w:t>
      </w:r>
    </w:p>
    <w:p>
      <w:r>
        <w:t>- 24 -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et les références citées ; TF 6B_242/2019 du 18 mars 2019 consid. 2.1). 6.2 Selon le rapport de l’Unité des médecines des violences du 25 août 2022, Q.________ a présenté, à la suite des coups infligés par l’appelant, plusieurs ecchymoses rougeâtres au niveau de la joue droite, une ecchymose jaunâtre dans la région pectorale droite et diverses ecchymoses et dermabrasions au niveau du membre supérieur gauche. Lors de la consultation, il s’est également plaint de douleurs en regard de l’articulation temporo-mandibulaire droite lors de la mastication et de l’ouverture buccale, de douleurs sous la clavicule droite à la palpation, costales gauches à la mobilisation et à la respiration ainsi qu’au bras gauche de type courbatures (P. 17/2). Au vu des lésions subies, l’indemnité pour tort moral de 2'000 fr., avec intérêt à 5 % l’an dès le 1er mars 2023, allouée par le premier juge, ne prête pas le flanc à la critique. Elle sera dès lors confirmée. En revanche, il n’y a pas lieu d’allouer une indemnité pour tort moral à A.S.________ dès lors que les injures et menaces étaient réciproques, comme cela ressort des nombreux messages échangés entre les parties (cf. P. 18/2). L’appel sera admis sur ce point. 7. En définitive, l’appel doit être partiellement admis et le jugement entrepris modifié aux chiffres I, II, III et V de son dispositif, dans le sens des considérants qui précèdent. En revanche, nonobstant l’abandon du chef d’accusation de voies de fait qualifiées, il n’y a pas lieu de revenir sur la répartition des frais de première instance, dès lors qu’en s’en prenant physiquement à son ex-compagne, l’appelant a porté atteinte à un droit absolu de la personnalité de cette dernière</w:t>
      </w:r>
    </w:p>
    <w:p>
      <w:r>
        <w:t>- 25 - (art. 28 CC) et a donc provoqué, par un comportement fautif et contraire à une règle de l’ordre juridique, l’ouverture de la procédure pénale à raison de ces faits. Me Lise-Marie Gonzalez Pennec, défenseur d’office, a produit une liste d’opérations dans laquelle elle indique une activité de 10h20 d’avocat breveté et de 4h30 d’avocat-stagiaire. En l’occurrence, le temps consacré à la « rédaction du recours » (4h00) et aux « recherches juridiques sur le tort moral + rédaction appel (fin) + lettre au Tribunal cantonal + 2bt » (3h30), soit 7h30 au total, est excessif. Il sera réduit à 5h30. Au tarif horaire de 180 fr. pour l’avocat breveté et de 110 fr. pour l’avocat-stagiaire (cf. art. 2 al. 1 RAJ [règlement sur l'assistance judiciaire en matière civile du 7 décembre 2010 ; BLV 211.02.3] ; ATF 137 III 185), l’indemnité de défenseur d'office qui doit être allouée pour la procédure d'appel s’élève à 2'277 fr. 75, soit des honoraires de 1'995 fr. (1’500 fr. pour l’avocat breveté + 495 fr. pour l’avocat-stagiaire), auxquels s’ajoutent les débours forfaitaires de 2 %, par 39 fr. 90, une vacation, par 80 fr. (tarif pour l’avocat-stagiaire), et la TVA sur le tout par 162 fr. 85. Vu l’issue de la cause, les frais de la procédure d’appel, par 4'657 fr. 15, constitués de l’émoluments de jugement et d’audience, par 2’380 fr. (art. 21 al. 1 et 2 TFIP [tarif des frais de procédure et indemnités en matière pénale du 28 septembre 2010 ; BLV 312.03.1]), et de l’indemnité due au défenseur d’office, par 2'277 fr. 75, seront par moitié, soit par 2'328 fr. 55, à la charge d’N.________ et par un quart, soit par 1’164 fr. 25, à la charge de A.S.________, qui succombe s’agissant de ses conclusions en tort moral (art. 428 al. 1 CPP), le solde étant laissé à la charge de l’Etat. Par ailleurs, les intimés, qui ont conclu au rejet de l’appel, ont droit à une indemnité pour les dépenses occasionnées par la procédure d’appel. Leur conseil, Me Céline Jarry-Lacombe, a produit une liste d’opérations faisant état d’une activité de 8h05. Cette durée sera réduite</w:t>
      </w:r>
    </w:p>
    <w:p>
      <w:r>
        <w:t>- 26 - de 1h10. En effet, les débats d’appel ont duré un peu moins d’une heure, en lieu et place des 2h00 indiquées. De plus, s’agissant d’un travail de secrétariat, il n’y a pas lieu de rémunérer 10 minutes consacrées, le 9 mai et 6 juin 2023, à des « avis de transmission par courriel ». C’est donc un total de 6h55 qui sera indemnisé, dont 6h25 effectuées par l’avocat stagiaire. Par ailleurs, il découle de l’art. 26a al. 3 TFIP que le tarif horaire déterminant (hors TVA) est de 250 fr. au minimum et de 350 fr. au maximum pour l'activité déployée par un avocat. Il est de 160 fr. pour un avocat stagiaire. Le tarif horaire de 350 fr. pour l’avocat breveté réclamé par les intimés sera ramené à 300 fr., la cause ne présentant pas de complexité particulière et ressortant de la compétence d’un tribunal de police. Quant au tarif horaire de l’avocat stagiaire, il sera ramené à 160 francs. En définitive, c’est donc, au total, une indemnité de 1'340 fr. 60, correspondant à 30 minutes d’activité d’avocat breveté au tarif horaire de 300 fr., à 6h25 d’activité d’avocat stagiaire au tarif horaire de 160 fr., à des débours, par 34 fr. 30 et à la TVA sur le tout, par 93 fr. 30, qui sera allouée. Celle-ci sera octroyée par moitié, soit par 652 fr. 30, à Q.________, et, pour tenir compte de la répartition des frais, par un quart, soit par 335 fr. 15, à A.S.________. N.________ sera tenu de rembourser à l’Etat la moitié de l’indemnité en faveur de son défenseur d’office dès que sa situation financière le permettra. A cet égard, le dispositif du jugement notifié le 20 juillet comporte une erreur de plume, dans la mesure où la part de l’indemnité à rembourser à l’Etat n’est pas mentionnée. Il sera dès lors rectifié en application de l’art. 83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