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PE21.022000 vom 2. Mai 2022</w:t>
      </w:r>
    </w:p>
    <w:p>
      <w:r>
        <w:t>VD Tribunal cantonal, 2022-05-02, FR</w:t>
      </w:r>
    </w:p>
    <w:p>
      <w:r>
        <w:rPr>
          <w:b/>
        </w:rPr>
        <w:t xml:space="preserve">Quelle: </w:t>
      </w:r>
      <w:r>
        <w:t>https://mcp.opencaselaw.ch/entscheid/vd_gerichte_PE21.022000</w:t>
      </w:r>
    </w:p>
    <w:p>
      <w:r>
        <w:t>FR: VD_GERICHTE PE21.022000 du 2 mai 2022</w:t>
      </w:r>
    </w:p>
    <w:p>
      <w:r>
        <w:t>IT: VD_GERICHTE PE21.022000 del 2 maggio 2022</w:t>
      </w:r>
    </w:p>
    <w:p>
      <w:pPr>
        <w:pStyle w:val="Heading2"/>
      </w:pPr>
      <w:r>
        <w:t>Erwägungen</w:t>
      </w:r>
    </w:p>
    <w:p>
      <w:r>
        <w:rPr>
          <w:b/>
        </w:rPr>
        <w:t>E. 19</w:t>
      </w:r>
    </w:p>
    <w:p>
      <w:r>
        <w:t>février 2021/156; CREP 27 août 2020/637; CREP 29 octobre 2018/845). 2.3 En l’espèce, la motivation de l’ordonnance attaquée est manifestement insuffisante. En effet, le procureur s’est limité à indiquer que la mesure envisagée contribuerait à élucider des faits constituant un crime ou un délit, qu’elle était ainsi adéquate et proportionnée. Il n’indique toutefois pas de manière concrète si l’établissement du profil ADN devrait être ordonné pour élucider l’infraction dont le recourant est accusé, ou s’il s’agit d’élucider d’éventuelles infractions qui n'ont pas été portées à la connaissance des autorités. Or, on ne discerne pas, à ce stade, en quoi la mesure ordonnée pourrait servir en lien avec les faits reprochés au prévenu, d’autant que celui-ci a admis les faits et qu’une procédure simplifiée est en cours. L’ordonnance attaquée ne contient pas non plus de motivation spécifique sur le caractère proportionné de ladite mesure. Partant, vu le défaut de motivation, le droit d’être entendu du recourant a été violé. Quand bien même la Chambre des recours pénale dispose d’un plein pouvoir d’examen et que le procureur a donné des explications dans ses déterminations du 21 avril 2021 (P. 26), il ne lui appartient pas de réparer cette violation et le recourant doit pouvoir bénéficier de la</w:t>
      </w:r>
    </w:p>
    <w:p>
      <w:r>
        <w:t>- 7 - garantie de la double instance (cf. CREP 28 avril 2022/294 ; CREP 19 février 2021/156; CREP 11 novembre 2020/890; CREP 3 août 2020/585 consid. 2.3). 3. Il résulte de ce qui précède que le recours doit être admis, l’ordonnance du 18 mars 2022 annulée et le dossier de la cause renvoyé au Ministère public Strada pour qu’il motive sa décision dans un délai de dix jours dès la notification du présent arrêt, à défaut de quoi le prélèvement d’ADN concerné, non exploitable, devra être détruit.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450 fr. sur la base d’une durée d’activité nécessaire d’avocat estimée à 2h30 au tarif horaire de 180 fr., auxquels il convient d’ajouter des débours forfaitaires à concurrence de 2 % (art. 3bis al. 1 RAJ [Règlement sur l’assistance judiciaire en matière civile du 7 décembre 2010 ; BLV 211.02.3], applicable par renvoi de l’art. 26b TFIP), par 9 fr., et la TVA, par 35 fr. 35, soit à 495 fr. au total, en chiffres arrondis, seront laissés à la charge de l’Etat (art. 428 al. 4 CPP). Par ces motifs, la Chambre des recours pénale prononce : I. Le recours est admis. II. L’ordonnance du 18 mars 2022 est annulée. III. Le dossier de la cause est renvoyé au Ministère public Strada pour qu’il procède dans le sens des considérants dans un délai de dix jours dès notification du présent arrêt, à défaut de quoi le prélèvement d’ADN n° […] devra être détruit. IV. L’indemnité allouée au défenseur d’office de C.________ est fixée à 495 fr. (quatre cent nonante-cinq francs).</w:t>
      </w:r>
    </w:p>
    <w:p>
      <w:r>
        <w:t>- 8 - V. Les frais d’arrêt, par 770 fr. (sept cent septante francs), ainsi que l’indemnité due au défenseur d’office de C.________, par 495 fr. (quatre cent nonante-cinq francs), sont laissés à la charge de l’Etat. VI. L’arrêt est exécutoire. La présidente : La greffière : Du Le présent arrêt, dont la rédaction a été approuvée à huis clos, est notifié, par l'envoi d'une copie complète, à : - Me Charlotte Palazzo, avocate (pour C.________), - Ministère public central, et communiqué à : - M. le Procureur cantonal Strada,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