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PE21.021248 vom 17. März 2022</w:t>
      </w:r>
    </w:p>
    <w:p>
      <w:r>
        <w:t>VD Tribunal cantonal, 2022-03-17, FR</w:t>
      </w:r>
    </w:p>
    <w:p>
      <w:r>
        <w:rPr>
          <w:b/>
        </w:rPr>
        <w:t xml:space="preserve">Quelle: </w:t>
      </w:r>
      <w:r>
        <w:t>https://mcp.opencaselaw.ch/entscheid/vd_gerichte_PE21.021248</w:t>
      </w:r>
    </w:p>
    <w:p>
      <w:r>
        <w:t>FR: VD_GERICHTE PE21.021248 du 17 mars 2022</w:t>
      </w:r>
    </w:p>
    <w:p>
      <w:r>
        <w:t>IT: VD_GERICHTE PE21.021248 del 17 marzo 2022</w:t>
      </w:r>
    </w:p>
    <w:p>
      <w:pPr>
        <w:pStyle w:val="Heading2"/>
      </w:pPr>
      <w:r>
        <w:t>Erwägungen</w:t>
      </w:r>
    </w:p>
    <w:p>
      <w:r>
        <w:rPr>
          <w:b/>
        </w:rPr>
        <w:t>E. 1</w:t>
      </w:r>
    </w:p>
    <w:p>
      <w:r>
        <w:t>Interjeté dans le délai légal (art. 310 al. 2, 322 al. 2 et 396 al. 1 CPP [Code de procédure pénale suisse du 5 octobre 2007 ; RS 312.0]), contre une décision du Ministère public (art. 393 al. 1 let. a CPP), par les plaignantes qui ont qualité pour recourir (art. 382 al. 1 CPP) et dans les formes prescrites (art. 385 al. 1 CPP), le recours est recevable.</w:t>
      </w:r>
    </w:p>
    <w:p>
      <w:r>
        <w:t>- 5 -</w:t>
      </w:r>
    </w:p>
    <w:p>
      <w:r>
        <w:rPr>
          <w:b/>
        </w:rPr>
        <w:t>E. 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et les références). Dans le doute, lorsque les conditions d'une non-entrée en matière ne sont pas réalisées avec une certitude absolue, l'instruction doit être ouverte (TF 6B_196/2020 précité consid. 3.1 et les références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w:t>
      </w:r>
    </w:p>
    <w:p>
      <w:r>
        <w:t>- 6 - au point de justifier une mise en accusation, respectivement de rendre vraisemblable une condamnation (TF 6B_196/2020 précité consid. 3.1 et les références).</w:t>
      </w:r>
    </w:p>
    <w:p>
      <w:r>
        <w:rPr>
          <w:b/>
        </w:rPr>
        <w:t>E. 3.1</w:t>
      </w:r>
    </w:p>
    <w:p>
      <w:r>
        <w:t>Les recourantes soutiennent que, dans son courriel du 8 octobre 2021, B.________ les accuse d’avoir intentionnellement menti à leurs bénéficiaires et collaborateurs, ainsi que d’avoir commis les crimes d’abus de confiance et de faux dans les titres, ce qui constitue une atteinte à leur honneur au sens des art. 173 et 174 CP. Elles considèrent qu’il en va de même pour les courriels des 10 et 11 octobre 2021, dans la mesure où B.________ y jette sur elles le soupçon d’infractions à la loi fédérale sur les étrangers et l’intégration du 16 décembre 2005 (LEI ; RS 142.20).</w:t>
      </w:r>
    </w:p>
    <w:p>
      <w:r>
        <w:rPr>
          <w:b/>
        </w:rPr>
        <w:t>E. 3.2</w:t>
      </w:r>
    </w:p>
    <w:p>
      <w:r>
        <w:t>Se rend coupable de diffamation au sens de l’art. 173 al. 1 CP et sera puni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La calomnie (art. 174 CP) est une forme qualifiée de diffamation, dont elle se distingue en ceci que les allégations attentatoires à l'honneur sont fausses et que l'auteur connaissait la fausseté de ses allégations. Les preuves libératoires de la vérité ou de la bonne foi n'ont donc pas de sens dans ce cadre (Dupuis et alii, Petit commentaire du Code pénal, 2e éd., Bâle 2017, n. 1 ad art. 174 CP). L’art. 176 CP assimile à la diffamation et à la calomnie verbales la diffamation et la calomnie par l’écriture, l’image, le geste ou par tout autre moyen.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w:t>
      </w:r>
    </w:p>
    <w:p>
      <w:r>
        <w:t>- 7 - respect, qui est lésé par toute assertion propre à exposer la personne visée au mépris en sa qualité d’être humain (ATF 132 IV 112 consid. 2.1). L’honneur protégé par le droit pénal est conçu de façon générale comme un droit au respect, qui est lésé par toute assertion propre à exposer la personne visée au mépris en sa qualité d’homme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ou à discréditer (ATF 119 IV 44 consid. 2a ; ATF 105 IV 194 consid. 2a). Dans le domaine des activités socio- professionnelles, il ne suffit pas ainsi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 TF 6B_226/2019 du 29 mars 2019 consid.</w:t>
      </w:r>
    </w:p>
    <w:p>
      <w:r>
        <w:rPr>
          <w:b/>
        </w:rPr>
        <w:t>E. 3.3</w:t>
      </w:r>
    </w:p>
    <w:p>
      <w:r>
        <w:t>En l’espèce, dans son courriel du 8 octobre 2021, B.________ expose que X.________ abuse de la confiance des collaborateurs de X.________Sàrl et a fait des faux dans les titres. Dans son courriel du 10 octobre 2021, elle parle de maltraitance à l’encontre des bénéficiaires. De telles accusations dépassent de loin le cadre de la critique professionnelle puisqu’il est sous-entendu que X.________ aurait pu commettre ou laisser commettre des agissements pénalement répréhensibles. On ne saurait donc exclure d’emblée que les conditions d’application des art. 173 ou 174 CP ne sont pas remplies concernant ces propos. Par ailleurs, dans ses courriels des 10 et 11 octobre 2021, B.________ indique le nom de plusieurs personnes qui auraient été employées par X.________Sàrl sans être au bénéfice d’une autorisation de travail (R.________, S.________ et T.________). Dans la mesure où des infractions à la LEI sont évoquées, on ne saurait non plus écarter toute atteinte à l’honneur, d’autant que les recourantes font valoir que certaines de ces allégations sont fausses, respectivement ont produit une pièce selon laquelle S.________ est au bénéfice d’un permis B suisse (P. 6/7). Vu les éléments qui précèdent, dès lors qu’il n’existe aucun élément qui permettrait sans équivoque, à ce stade initial de la procédure et en l'absence d'instruction, de dénier tout crédit aux déclarations des recourantes, il incombera au Ministère public d’ouvrir une instruction et de procéder à tout acte utile afin de déterminer si les éléments constitutifs de diffamation, voire de calomnie, sont réalisés (art. 309 al. 1 let. a CPP).</w:t>
      </w:r>
    </w:p>
    <w:p>
      <w:r>
        <w:rPr>
          <w:b/>
        </w:rPr>
        <w:t>E. 4</w:t>
      </w:r>
    </w:p>
    <w:p>
      <w:r>
        <w:t>Il résulte de ce qui précède que le recours doit être admis, l'ordonnance entreprise annulée et la cause renvoyée à l'autorité intimée pour qu'elle procède dans le sens des considérants.</w:t>
      </w:r>
    </w:p>
    <w:p>
      <w:r>
        <w:t>- 9 - Les recourantes, qui ont procédé avec l’assistance d’un avocat de choix, ont droit à une indemnité pour les dépenses occasionnées par la procédure de recours (art. 428 al. 4 et 436 al. 3 CPP par analogie). Cette indemnité sera fixée à 900 fr., sur la base de trois heures d’activité nécessaire d’avocat au tarif horaire de 300 fr. (art. 26a al. 3 TFIP [tarif des frais de procédure et indemnités en matière pénale du 28 septembre 2010 ; BLV 312.03.1]), à laquelle s’ajoutent 2 % pour les débours (art. 19 al. 2 TDC [tarif des dépens en matière civile du 23 novembre 2010 ; BLV 270.11.6] par renvoi de l'art. 26a al. 6 TFIP) et 7,7 % de TVA sur le tout, ce qui correspond à la somme de 989 fr. en chiffres ronds. Les frais de la procédure de recours, par 990 fr. (art. 20 al. 1 TFIP), ainsi que l’indemnité allouée aux recourantes, par 989 fr., seront laissés à la charge de l'Etat (art. 423 al. 1 CPP). Par ces motifs, la Chambre des recours pénale prononce : I. Le recours est admis. II. L’ordonnance du 18 janvier 2022 est annulée. III. Le dossier de la cause est renvoyé au Ministère public de l'arrondissement de Lausanne pour qu'il procède dans le sens des considérants. IV. Une indemnité de 989 fr. (neuf cent huitante-neuf francs) est allouée à X.________Sàrl et X.________, solidairement entre elles, à la charge de l'Etat. V. Les frais d'arrêt, par 880 fr. (huit cent huitante francs), sont laissés à la charge de l'Etat. VI. L’arrêt est exécutoire. La présidente : La greffière :</w:t>
      </w:r>
    </w:p>
    <w:p>
      <w:r>
        <w:t>- 10 - Du Le présent arrêt, dont la rédaction a été approuvée à huis clos, est notifié, par l'envoi d'une copie complète, à : - Me Romain Deillon, avocat (pour X.________Sàrl et X.________), - Ministère public central, et communiqué à : - M. le Procureur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