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PE21.021218 vom 17. November 2023</w:t>
      </w:r>
    </w:p>
    <w:p>
      <w:r>
        <w:t>VD Tribunal cantonal, 2023-11-17, FR</w:t>
      </w:r>
    </w:p>
    <w:p>
      <w:r>
        <w:rPr>
          <w:b/>
        </w:rPr>
        <w:t xml:space="preserve">Quelle: </w:t>
      </w:r>
      <w:r>
        <w:t>https://mcp.opencaselaw.ch/entscheid/vd_gerichte_PE21.021218</w:t>
      </w:r>
    </w:p>
    <w:p>
      <w:r>
        <w:t>FR: VD_GERICHTE PE21.021218 du 17 novembre 2023</w:t>
      </w:r>
    </w:p>
    <w:p>
      <w:r>
        <w:t>IT: VD_GERICHTE PE21.021218 del 17 novembre 2023</w:t>
      </w:r>
    </w:p>
    <w:p>
      <w:pPr>
        <w:pStyle w:val="Heading2"/>
      </w:pPr>
      <w:r>
        <w:t>Erwägungen</w:t>
      </w:r>
    </w:p>
    <w:p>
      <w:r>
        <w:rPr>
          <w:b/>
        </w:rPr>
        <w:t>E. 27</w:t>
      </w:r>
    </w:p>
    <w:p>
      <w:r>
        <w:t>novembre 2021. Le Ministère public a également relevé que les regrettables « couacs » survenus dans le cadre de la prise en charge de A.A.________, que ce soit lors de son dernier séjour ou lors de précédentes périodes d’hospitalisation, ainsi que la mauvaise communication à ses proches, ne constituaient pas non plus une violation d’un devoir de</w:t>
      </w:r>
    </w:p>
    <w:p>
      <w:r>
        <w:t>- 18 - prudence et n’étaient manifestement pas en lien de causalité avec le décès de la jeune femme. Dans un deuxième temps, la procureure a considéré que, même à retenir l’existence d’une faute s’agissant du cadre dans lequel la défunte était hospitalisée ou du degré de surveillance auquel elle était soumise, il n’était pas possible de tenir pour établi que des mesures de surveillance plus strictes auraient permis d’éviter le décès. En particulier, si elle a questionné les mesures de surveillance en lien avec les modalités de prise des médicaments, ainsi que l’éventuelle accessibilité de produits stupéfiants sur le site de l’hôpital, il n’apparaissait pas, pour la magistrate, que ces éléments soient déterminants pour examiner l’existence d’une faute pénalement repréhensible en lien de causalité avec le décès de A.A.________, dans la mesure où son décès n’était pas dû à une intoxication médicamenteuse ou de stupéfiants, mais à sa collision avec le train. Enfin, la procureure a estimé que les conditions d’un placement en « soins intensifs » n’étaient pas données et qu’un tel enfermement aurait d’ailleurs été en contradiction avec la phase d’autonomisation et d’élargissement, concrétisée notamment par le congé du 3 décembre 2021 et l’optique, souhaitée par ses parents, d’une levée de la mesure de PAFA. C. Par acte du 15 mai 2023, B.A.________ et C.A.________ (ci- après : les recourants) ont interjeté recours contre cette décision. Ils ont conclu, avec suite de frais de frais et dépens, à son annulation et au renvoi de la cause au Ministère public pour instruction. Il n’a pas été ordonné d’échanges d’écritures. En d roit : 1. 1.1 Les parties peuvent attaquer une ordonnance de classement rendue par le Ministère public en application des art. 319 ss CPP (Code de</w:t>
      </w:r>
    </w:p>
    <w:p>
      <w:r>
        <w:t>- 19 - procédure pénale du 5 octobre 2007 ; RS 312.0). Le recours doit être motivé et adressé par écrit dans un délai de dix jours dès la notification de la décision attaquée à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auprès de l’autorité compétente par la partie plaignante qui a qualité pour recourir (art. 382 al. 1 CPP) et dans les formes prescrites (art. 385 CPP), le recours est recevable. 2. 2.1 Invoquant une violation du principe « in dubio pro duriore », les recourants se plaignent du fait que l’instruction n’aurait pas su démontrer avec certitude que l’infraction d’homicide par négligence n’avait pas été commise par les médecins garants ou par d’autres employés de l’hôpital et soutiennent que le Ministère public aurait dû procéder à d’autres mesures d’instruction. A cet égard, ils font notamment valoir que la cause nécessite la mise en œuvre d’une expertise « médicolégale » visant à établir le devoir des médecins quant à l’étendue de la prise de connaissance du dossier de la défunte, aux mesures devant être prises suite aux multiples fugues de celle-ci, à l’examen du risque suicidaire auquel il convenait de procéder suite notamment à l’avis de fuite du 18 novembre 2021, aux précautions qu’aurait dû prendre le personnel médical en lien avec la prise de médicament par A.A.________, à l’impact de la cessation de la prise de fluvoxamine sur une certaine durée, à ce qu’a pu provoquer comme effets ressentis la prise excessive de ce médicament, aux mesures à prendre par les médecins afin de prévenir la consommation de produits dangereux (cannabis et MDMA), ainsi que l’impact de ceux-ci sur A.A.________ le jour de son décès. Enfin, ils requièrent l’audition du Dr K.________, se prévalant notamment de</w:t>
      </w:r>
    </w:p>
    <w:p>
      <w:r>
        <w:t>- 20 - messages échangés avec la recourante dans lesquels le médecin fait notamment état d’un « manque de surveillance (…) à corriger » (échange du 12.12.21), ce qui permettrait, selon les recourants, d’avoir une autre vision de la situation que celle des personnes travaillant sur place. 2.2 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Le Ministère public peut écarter une réquisition de preuves si celle-ci porte sur des faits non pertinents, notoires, connus de l'autorité pénale ou déjà suffisamment prouvés en droit. Il rend sa décision par écrit et la motive brièvement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ATF 141 I 60 consid. 3.3 ; ATF 136 I 229 consid. 5.3 ; TF 6B_400/2020 du 20 janvier 2021 consid. 2.1).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(CREP 22 juillet 2022/562 consid. 2.3, CREP 7 février 2023/92 consid. 3.1.2).</w:t>
      </w:r>
    </w:p>
    <w:p>
      <w:r>
        <w:t>- 21 - 2.3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w:t>
      </w:r>
    </w:p>
    <w:p>
      <w:r>
        <w:t>- 22 - suffisants justifiant une mise en accusation (CREP 12 août 2020/605 et les références citées). 3. 3.1 Selon l'art. 117 CP,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2.4.2, ATF 143 IV 138 consid. 2.1 ; ATF 135 IV 56 consid. 2.1 et les réf.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ATF 135 IV 56 consid. 2.1). La violation des devoirs de la prudence peut aussi être déduite des principes généraux, si aucune règle spéciale de sécurité n'a été violée (ATF 135 IV 56 consid. 2.1). Par ailleurs, la violation du devoir de prudence doit être fautive, c'est-à-dire qu'il faut pouvoir reprocher à l'auteur une inattention ou un manque d'effort blâmable (ATF 135 IV 56 consid. 2.1; ATF 134 IV 255 consid. 4.2.3 et les réf. citées).</w:t>
      </w:r>
    </w:p>
    <w:p>
      <w:r>
        <w:t>- 23 -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 TF 6B_1177/2022 du 21 février 2023 consid. 2.3.3). La notion de manquement à ses devoirs ne doit cependant pas être comprise de telle manière que chaque acte ou omission qui, par un jugement « a posteriori »,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148 IV 39 consid. 2.3.4 ; ATF 134 IV 175 consid. 3.2 ; ATF 130 IV 7 consid. 3.3 ; TF 6B_1177/2022 du 21 février 2023 consid. 2.3.3 ; TF 6B_63/2020 du 10 mars 2021 consid. 3.3.2 ; TF</w:t>
      </w:r>
    </w:p>
    <w:p>
      <w:r>
        <w:t>- 24 - 6B_1287/2018 du 11 mars 2019 consid. 1.1).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6B_1333/2022 du 2 octobre 2023 consid. 2.2.4 et les références citées). La prévisibilité d’un acte ne suffit pas pour que le résultat puisse être imputé au comportement imprudent de l’auteur. Il faut encore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ou son omission ait, avec un haut degré de vraisemblance, été la cause du résultat (ATF 140 II 7 consid. 3.4 et la référence citée ; TF 6B_1055/2020 précité consid. 4.3.4 et les références citées). 3.2 Dans une affaire similaire (CREP 31 juillet 2018/569), citée dans l’ordonnance attaquée, le médecin cantonal avait été interpellé au</w:t>
      </w:r>
    </w:p>
    <w:p>
      <w:r>
        <w:t>- 25 - sujet des mesures de protection dans les établissements hospitaliers psychiatriques. Il était exposé que : « Par changement de culture institutionnelle, les Unités de soins sont systématiquement ouvertes dans le Canton. Par principe, il n'existe dès lors plus, tout au moins dans le Département de psychiatrie du CHUV, d'étages ou d'unités de soins fermés en psychiatrie adulte, sauf situation exceptionnelle. On entend par situation exceptionnelle des circonstances où toutes les chambres de soins intensifs du Département seraient occupées, qu'aucune possibilité de transfert dans un autre établissement ne serait possible, que plusieurs patients poseraient l'indication à être admis dans une chambre de soins intensifs et que le personnel (de nuit par exemple) serait dans l'impossibilité d'intensifier la présence infirmière auprès d'un patient à risque. (…) De manière générale c'est la formation du personnel à des soins personnalisés, tendant à développer au maximum une relation de confiance, et respectant le principe de proportionnalité, qui doit remplacer le plus possible la contention. (…) Les patients admis en CSI (chambre de soins intensifs NDA) sont ceux qui présentent une maladie psychiatrique aiguë, associée à un trouble majeur du comportement, une inaccessibilité aux interventions de soins courants et à la communication, une auto ou hétéro-agressivité, une agitation ingérable, une désinhibition problématique. En cas de grande dangerosité (risque élevé de passage à l'acte), les soignants mobilisent tous leurs savoirs en équipe dans le domaine et font appel aux renforts nécessaires au sein de l'Hôpital ou à la police. ». 4. En l’espèce, il convient d’examiner si la procureure, en procédant à une appréciation des preuves en présence, était fondée à exclure ou non toute violation fautive du devoir de prudence de la part du personnel soignant de l’Hôpital psychiatrique de V.________ en lien avec le décès de A.A.________. Tout d’abord, il sied de relever que le risque suicidaire de feue A.A.________ était régulièrement évalué, que soit lors des entretiens médicaux-infirmiers, dont elle bénéficiait trois fois par semaine, ou à l’occasion du retour de ses fugues et ce, selon l’outil d’évaluation à</w:t>
      </w:r>
    </w:p>
    <w:p>
      <w:r>
        <w:t>- 26 - disposition des médecins « UDR » (cf. PV aud. 9, p. 3 ; cf. Supra, Consid. A let. i). En particulier, elle affirmait ne pas avoir d’idées suicidaires, n’avait présenté aucun passage à l’acte auto-agressif ni geste d’automutilation, si bien que le risque a été considéré de faible, y compris en tenant compte des antécédents psychiatriques de l’intéressée et de sa fugue du 18 novembre 2021 (cf. PV aud. 9, p. 3 et 7). Le fait que le Dr F.________ ait déclaré n’avoir connaissance que des derniers éléments inscrits dans le dossier de la patiente n’est pas de nature à remettre en question ce constat, dans la mesure où il ne procédait pas seul aux évaluations (cf. PV aud. 9, p. 3) et où, le 7 décembre 2021, au matin, peu de temps avant son décès, A.A.________ a été évaluée lors d’un entretien avec la Dre D.________, au cours duquel la praticienne n’a pas objectivé de risque suicidaire, la patiente ayant nié avoir des idées suicidaires et ne faisant pas montre d’un changement dans son comportement « [e]lle était tranquille et stable comme d’habitude » (cf. PV aud. 8, p. 6). Enfin, à l’exception du 18 novembre 2021, l’entourage de A.A.________ n’a pas mis en évidence de risque de passage à l’acte chez la jeune femme. Dans ces circonstances, il parait superfétatoire d’ordonner une expertise médicolégale visant à établir le devoir des médecins quant à l’étendue de la prise de connaissance du dossier de la défunte et l’examen du risque suicidaire auquel il convenait de procéder, aucun élément ne permettant de suspecter qu’il ne l’a pas été en conformité avec l’outil « UDR » (cf. Supra, Consid. A let. i). Ensuite, les recourants font valoir que le personnel soignant n’a pas pris les mesures adaptées face aux multiples fugues de leur fille, d’une part et en ce qui concernait sa prise de médicaments et sa consommation de produits dangereux, d’autre part. Toutefois, on relèvera que le personnel de l’hôpital n’est pas resté passif, dans la mesure où il a procédé à un changement d’unité pour « rétablir un lien thérapeutique » avec A.A.________ après que celle-ci a admis avoir consommé du cannabis au retour d’une fugue le 27 novembre 2021 (cf. PV aud. 8, p. 5), étant précisé qu’elle a refusé de se soumettre à des prises d’urine (cf. PV aud. 9, p. 5, PV aud. 10). Certes, le fait de devoir respecter le cadre « unité »</w:t>
      </w:r>
    </w:p>
    <w:p>
      <w:r>
        <w:t>- 27 - n’empêche pas les patients de sortir de ladite unité, et donc de l’hôpital, mais un tel procédé est conforme à la pratique institutionnelle du canton de Vaud (cf. Supra, consid. 3.2). L’état de A.A.________ ne présentant pas non plus un caractère aigu, il n’était pas non plus possible de la placer en unité dite de « soins intensifs », seule mesure à même d’empêcher une fugue à visée funeste, sauf à vouloir enfermer tous les patients ayant présenté par le passé des idées suicidaires, ce qui irait assurément à l’encontre de leurs intérêts. Du reste, une telle mesure de contention ne faisait pas de sens compte tenu du fait que la patiente se trouvait en phase d’élargissement ; seule l’attente d’une place en foyer retardait la levée de son PAFA. Elle avait d’ailleurs bénéficié d’une sortie le 3 décembre 2021 – soit près de 15 jours après sa fugue du 18 novembre 2021 – sans qu’aucun évènement particulier n’ait été à signaler. En ce qui concerne une éventuelle non-prise de son traitement, aucun signe en ce sens n’a été décelé par le personnel soignant, tant d’un point de vue clinique qu’au niveau de la prise effective du médicament (cf. PV aud. 9, p. 6 et PV aud. 10, p. 4). Enfin, l’instruction n’a pas permis d’établir la manière dont A.A.________ s’était procuré une dose excessive de Floxyfral®. Au vu de ce qui précède, on ne saurait retenir que le personnel médical a failli à son devoir de prudence et de surveillance dans le cadre du suivi de A.A.________. Il n’apparait dès lors pas pertinent de pouvoir établir, dans le cadre d’une expertise, un éventuel lien de causalité entre la prise de toxiques, voire l’absence de prise de son traitement, et le décès de A.A.________. De plus, au vu du risque suicidaire que celle-ci présentait, des mesures de surveillance déjà prises par l’hôpital et du fait qu’il n’était pas exigible de placer la prénommée en chambre de soins intensifs, il n’est pas non plus nécessaire d’entendre Dr K.________ au sujet des mesures de surveillance à prendre. Cela étant, en procédant à une appréciation anticipée des preuves que l’on ne peut qualifier d’arbitraire, c’est à raison que la</w:t>
      </w:r>
    </w:p>
    <w:p>
      <w:r>
        <w:t>- 28 - procureure a estimé qu’il n’était pas nécessaire de mettre en œuvre une expertise médico-légale et d’entendre le Dr K.________ pour retenir qu’une infraction à l’art. 117 CP, ni aucune autre infraction pénale, ne saurait être imputée au personnel soignant. 5. Il résulte de ce qui précède que le recours doit être rejeté, sans autre échange d’écritures, et l'ordonnance de classement du 2 mai 2023 confirmée. Les frais de la procédure de recours, par 2’640 fr. (art. 20 al. 1 TFIP [tarif des frais de procédure et indemnités en matière pénale du 28 septembre 2010 ; RSV 312.03.1]), seront mis à la charge des recourants, qui succombent (art. 428 al. 1 CPP), à parts égales et solidairement entre eux (art. 418 al. 1 et 2 CPP). Par ces motifs, la Chambre des recours pénale prononce : I. Le recours est rejeté. II. L’ordonnance du 2 mai 2023 est confirmée. III. Les frais d’arrêt, par 2’640 fr. (deux mille six cent quarante francs), sont mis à la charge des recourants, à parts égales et solidairement entre eux. IV. L’arrêt est exécutoire. La présidente : La greffière : Du Le présent arrêt, dont la rédaction a été approuvée à huis clos, est notifié, par l'envoi d'une copie complète, à : - Me Raphaël Guisan (pour B.A.________ et C.A.________),</w:t>
      </w:r>
    </w:p>
    <w:p>
      <w:r>
        <w:t>- 29 -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