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PE21.020922 vom 3. Juni 2022</w:t>
      </w:r>
    </w:p>
    <w:p>
      <w:r>
        <w:t>VD Tribunal cantonal, 2022-06-03, FR</w:t>
      </w:r>
    </w:p>
    <w:p>
      <w:r>
        <w:rPr>
          <w:b/>
        </w:rPr>
        <w:t xml:space="preserve">Quelle: </w:t>
      </w:r>
      <w:r>
        <w:t>https://mcp.opencaselaw.ch/entscheid/vd_gerichte_PE21.020922</w:t>
      </w:r>
    </w:p>
    <w:p>
      <w:r>
        <w:t>FR: VD_GERICHTE PE21.020922 du 3 juin 2022</w:t>
      </w:r>
    </w:p>
    <w:p>
      <w:r>
        <w:t>IT: VD_GERICHTE PE21.020922 del 3 giugno 2022</w:t>
      </w:r>
    </w:p>
    <w:p>
      <w:pPr>
        <w:pStyle w:val="Heading2"/>
      </w:pPr>
      <w:r>
        <w:t>Erwägungen</w:t>
      </w:r>
    </w:p>
    <w:p>
      <w:r>
        <w:rPr>
          <w:b/>
        </w:rPr>
        <w:t>E. 1</w:t>
      </w:r>
    </w:p>
    <w:p>
      <w:r>
        <w:t>- 3 -</w:t>
      </w:r>
    </w:p>
    <w:p>
      <w:r>
        <w:rPr>
          <w:b/>
        </w:rPr>
        <w:t>E. 1.1</w:t>
      </w:r>
    </w:p>
    <w:p>
      <w:r>
        <w:t>Le détenu peut attaquer une décision du Tribunal des mesures de contrainte dans un cas prévu par le CPP (art. 222 et 393 al. 1 let. c CPP CPP [Code de procédure pénale suisse du 5 octobre 2007 ; RS 312.0]) dans les dix jours devant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w:t>
      </w:r>
    </w:p>
    <w:p>
      <w:r>
        <w:t>- 4 -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w:t>
      </w:r>
    </w:p>
    <w:p>
      <w:r>
        <w:rPr>
          <w:b/>
        </w:rPr>
        <w:t>E. 1.2.2</w:t>
      </w:r>
    </w:p>
    <w:p>
      <w:r>
        <w:t>En l’espèce, à la lecture du courrier du 1er juin 2022 faisant état du numéro de référence « PE21.020922PAE » et par lequel V.________ indique « contester le dossier portant [c]e numéro », il apparaît que le prénommé souhaite recourir contre l’ordonnance du Tribunal des mesures de contrainte du 23 mai 2022 ordonnant sa détention pour des motifs de sûreté. Or, le recourant ne désigne pas les points du dispositif qui sont attaqués ou les motifs qui commanderaient une autre décision et ne développe aucun moyen à l’appui de sa « contestation ». Le recours ne satisfait dès lors pas aux exigences de motivation de l’art. 385 CPP. Par ailleurs, dans la mesure où l’intéressé conteste le « dossier », il est inutile de l’interpeller en application de l’art. 385 al. 2 CPP pour qu’il précise si son acte est bien un recours.</w:t>
      </w:r>
    </w:p>
    <w:p>
      <w:r>
        <w:t>- 5 -</w:t>
      </w:r>
    </w:p>
    <w:p>
      <w:r>
        <w:rPr>
          <w:b/>
        </w:rPr>
        <w:t>E. 2</w:t>
      </w:r>
    </w:p>
    <w:p>
      <w:r>
        <w:t>CPP). Les frais de la procédure de recours,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La présidente : Le greffier : Du Le présent arrêt, dont la rédaction a été approuvée à huis clos, est notifié, par l'envoi d'une copie complète, à : - Me Youri Widmer, avocat (pour V.________), - M. V.________, - Ministère public central,</w:t>
      </w:r>
    </w:p>
    <w:p>
      <w:r>
        <w:t>- 6 - et communiqué à : - Mme la Présidente du Tribunal des mesures de contrainte, - Mme la Procureure cantonale Strada, - M. le Président du Tribunal correctionnel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