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PE21.020536 vom 21. November 2022</w:t>
      </w:r>
    </w:p>
    <w:p>
      <w:r>
        <w:t>VD Tribunal cantonal, 2022-11-21, FR</w:t>
      </w:r>
    </w:p>
    <w:p>
      <w:r>
        <w:rPr>
          <w:b/>
        </w:rPr>
        <w:t xml:space="preserve">Quelle: </w:t>
      </w:r>
      <w:r>
        <w:t>https://mcp.opencaselaw.ch/entscheid/vd_gerichte_PE21.020536</w:t>
      </w:r>
    </w:p>
    <w:p>
      <w:r>
        <w:t>FR: VD_GERICHTE PE21.020536 du 21 novembre 2022</w:t>
      </w:r>
    </w:p>
    <w:p>
      <w:r>
        <w:t>IT: VD_GERICHTE PE21.020536 del 21 novembre 2022</w:t>
      </w:r>
    </w:p>
    <w:p>
      <w:pPr>
        <w:pStyle w:val="Heading2"/>
      </w:pPr>
      <w:r>
        <w:t>Erwägungen</w:t>
      </w:r>
    </w:p>
    <w:p>
      <w:r>
        <w:rPr>
          <w:b/>
        </w:rPr>
        <w:t>E. 2</w:t>
      </w:r>
    </w:p>
    <w:p>
      <w:r>
        <w:t>CP). Par conséquent, le grief doit être rejeté.</w:t>
      </w:r>
    </w:p>
    <w:p>
      <w:r>
        <w:rPr>
          <w:b/>
        </w:rPr>
        <w:t>E. 6</w:t>
      </w:r>
    </w:p>
    <w:p>
      <w:r>
        <w:t>Conformément à l’art. 51 CP, la détention subie par K.________ depuis le jugement de première instance sera déduite de la peine privative de liberté qui est prononcée contre lui.</w:t>
      </w:r>
    </w:p>
    <w:p>
      <w:r>
        <w:t>- 32 - Le maintien en exécution anticipée de peine est ordonné pour garantir l’exécution de la peine privative de liberté prononcée, compte tenu du risque de réitération (art. 221 al. 1 let. c CPP) que l’intimé présente.</w:t>
      </w:r>
    </w:p>
    <w:p>
      <w:r>
        <w:rPr>
          <w:b/>
        </w:rPr>
        <w:t>E. 7</w:t>
      </w:r>
    </w:p>
    <w:p>
      <w:r>
        <w:t>En définitive, l’appel du Ministère public doit être partiellement admis. Le jugement entrepris sera réformé dans le sens des considérants qui précèdent. Me Sarah Perrier a produit une liste d’opérations (P. 123) faisant état d’un temps total consacré au mandat de 16 heures et 50 minutes. Il convient toutefois de retrancher deux heures de préparation pour l’audience d’appel, la durée invoquée de 4 heures 30 étant excessive, ainsi qu’une heure 30 de la durée de l’audience qui doit être ramenée à une heure.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s’élèvent ainsi à 2’400 fr., auxquels s’ajoutent des débours forfaitaires de 2 % (art. 26b TFIP qui renvoie à l'art. 3 bis RAJ), par 48 fr., 360 fr. de vacation et la TVA sur le tout, au taux de 7,7%, par 216 fr. 20. L’indemnité de défenseur d’office pour la procédure d’appel sera dès lors fixée à 3’025 fr., en chiffres arrondis. Vu l’issue de la cause, les frais d’appel, par 6’255 fr., constitués en l’espèce des émoluments de jugement et d’audience, par 3'230 fr. (art. 21 al. 1 et 2 TFIP), ainsi que de l’indemnité allouée au défenseur d’office du prévenu, par 3'025 fr., seront mis par moitié, soit 3'127 fr. 50, à la charge de K.________, le solde étant laissé à la charge de l’Etat (art. 428 al. 1 CPP). K.________ sera tenu de rembourser à l’Etat la moitié de l'indemnité de défense d'office mise à sa charge dès que sa situation financière le permettra (art. 135 al. 4 let. a CPP). A cet égard, le dispositif</w:t>
      </w:r>
    </w:p>
    <w:p>
      <w:r>
        <w:t>- 33 - du jugement notifié le 22 juin 2023 comporte une erreur de plume, dans la mesure il est uniquement mentionné que K.________ sera tenu de rembourser à l’Etat de Vaud le montant de l’indemnité précitée et non la moitié de celle-ci. Il sera dès lors rectifié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