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PE21.020149 vom 8. Dezember 2021</w:t>
      </w:r>
    </w:p>
    <w:p>
      <w:r>
        <w:t>VD Tribunal cantonal, 2021-12-08, FR</w:t>
      </w:r>
    </w:p>
    <w:p>
      <w:r>
        <w:rPr>
          <w:b/>
        </w:rPr>
        <w:t xml:space="preserve">Quelle: </w:t>
      </w:r>
      <w:r>
        <w:t>https://mcp.opencaselaw.ch/entscheid/vd_gerichte_PE21.020149</w:t>
      </w:r>
    </w:p>
    <w:p>
      <w:r>
        <w:t>FR: VD_GERICHTE PE21.020149 du 8 décembre 2021</w:t>
      </w:r>
    </w:p>
    <w:p>
      <w:r>
        <w:t>IT: VD_GERICHTE PE21.020149 del 8 dicembre 2021</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de N.________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w:t>
      </w:r>
    </w:p>
    <w:p>
      <w:r>
        <w:t>- 6 - craindre qu’une personne passe à l’acte après avoir menacé de commettre un crime grave (art. 221 al. 2 CPP).</w:t>
      </w:r>
    </w:p>
    <w:p>
      <w:r>
        <w:rPr>
          <w:b/>
        </w:rPr>
        <w:t>E. 2.2</w:t>
      </w:r>
    </w:p>
    <w:p>
      <w:r>
        <w:t>Il y a lieu de souligner à cet égard que les conclusions prises par la recourante tendent uniquement à ce que des mesures de substitution soient ordonnées en lieu et place de la détention provisoire. N.________ ne semble dès lors pas contester que les conditions de l'art. 221 CPP soient réalisées. Toutefois, au vu de la motivation du recours, celles-ci seront tout de même brièvement examinées ci-après.</w:t>
      </w:r>
    </w:p>
    <w:p>
      <w:r>
        <w:rPr>
          <w:b/>
        </w:rPr>
        <w:t>E. 3.1</w:t>
      </w:r>
    </w:p>
    <w:p>
      <w:r>
        <w:t>La recourante relève tout d'abord avoir admis en partie les actes qui lui sont reprochés et avoir toujours contesté qu'elle avait voulu tuer sa fille. Elle ajoute avoir pris soin d'elle et que, dans ses déclarations, G.________ a omis de mentionner son propre comportement agressif notamment. N.________ conclut que l'hypothèse selon laquelle elle aurait voulu tuer sa fille, respectivement mettre sa vie en danger, est à la fois très peu crédible et indémontrable à ce stade précoce de l'enquête.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Jeanneret/Kuhn/Perrier/Depeursinge [éd.], Commentaire romand, Code de procé­dure pénale suisse, 2e éd., Bâle 2019, nn. 4 ss ad art. 221 CPP). Il n’appartient pas au juge de la détention de procéder à une pesée complète des éléments à charge et à décharge et d’apprécier la crédibilité des personnes qui mettent en cause le prévenu. Si la présomption d’innocence s’impose au juge du fond, elle ne s’applique pas en tant que telle au stade de la détention (TF 1B_283/2011 du 27 juin 2011 consid. 3.2 in fine).</w:t>
      </w:r>
    </w:p>
    <w:p>
      <w:r>
        <w:rPr>
          <w:b/>
        </w:rPr>
        <w:t>E. 3.3</w:t>
      </w:r>
    </w:p>
    <w:p>
      <w:r>
        <w:t>En l’espèce, il est incontestable qu’il existe des soupçons de culpabilité suffisants à l'encontre de N.________. L'enquête n'en est qu'à ses débuts et les faits pris en considération à ce stade par le Ministère public permettent de retenir des soupçons d’actes de contrainte et, plus</w:t>
      </w:r>
    </w:p>
    <w:p>
      <w:r>
        <w:t>- 7 - grave, de tentative de meurtre. Sur ce dernier point, il ressort de la demande du Parquet et de l'audition de G.________ que cette dernière a décrit de manière précise les comportements de sa mère à son égard en lien avec l’épisode du couteau. La recourante aurait d'ailleurs indiqué à son amie [...] avoir eu des comportements violents envers sa fille et avoir failli la tuer. Au demeurant, elle a partiellement admis les faits. Au stade de la vraisemblance, ces éléments sont suffisants et les dénégations de N.________ sur ce point sont vaines. En effet, ce n’est pas parce qu’elle considère être une bonne mère, qui a fait venir sa fille en Suisse en 2020, qu’elle ne pourrait pas s’être rendue coupable de ces faits très graves dont l’accuse précisément sa fille.</w:t>
      </w:r>
    </w:p>
    <w:p>
      <w:r>
        <w:rPr>
          <w:b/>
        </w:rPr>
        <w:t>E. 4.1</w:t>
      </w:r>
    </w:p>
    <w:p>
      <w:r>
        <w:t>La recourante indique ensuite que les conclusions du Ministère public et du Tribunal des mesures de contrainte au sujet du risque de collusion sont contredites par son comportement. Elle mentionne à ce propos avoir reconnu ses torts lors de son audition par le Parquet et avoir souhaité la paix avec sa fille. Elle ajoute ne pas avoir cherché à prendre contact avec elle et que sa mise en détention a eu lieu quatre jours après sa première audition par la police, de sorte que si elle avait voulu influencer quelqu'un elle aurait eu le temps de le faire.</w:t>
      </w:r>
    </w:p>
    <w:p>
      <w:r>
        <w:rPr>
          <w:b/>
        </w:rPr>
        <w:t>E. 4.2</w:t>
      </w:r>
    </w:p>
    <w:p>
      <w:r>
        <w:t>; ATF 132 I 21 consid. 3.2.2 ; TF 1B_536/2018 du 21 décembre 2018 consid. 5.1).</w:t>
      </w:r>
    </w:p>
    <w:p>
      <w:r>
        <w:rPr>
          <w:b/>
        </w:rPr>
        <w:t>E. 4.3</w:t>
      </w:r>
    </w:p>
    <w:p>
      <w:r>
        <w:t>En l'espèce, il ressort du témoignage de [...] que G.________ est sous l'influence de sa mère et que cette dernière lui aurait déjà « monté la tête ». Il y a d'ailleurs lieu de relever que G.________ a attendu de longues semaines avant de dénoncer les faits dont elle a été victime et qu'elle a renoncé à ce stade à déposer plainte contre sa mère. De plus, le père du fils de la recourante, chez qui l’enfant a été placé en Italie, devra certainement être entendu dans cette affaire. Il convient donc d’éviter que la recourante se mette en contact avec l’une ou l’autre de ces personnes pour tenter de les influencer. Le risque de collusion est donc concret.</w:t>
      </w:r>
    </w:p>
    <w:p>
      <w:r>
        <w:rPr>
          <w:b/>
        </w:rPr>
        <w:t>E. 5.1</w:t>
      </w:r>
    </w:p>
    <w:p>
      <w:r>
        <w:t>Le recourante fait encore grief au Tribunal des mesures de contrainte d'avoir retenu que les faits très graves qui lui sont reprochés se seraient déroulés plusieurs fois, précisant que l'épisode du couteau n'a eu</w:t>
      </w:r>
    </w:p>
    <w:p>
      <w:r>
        <w:t>- 9 - lieu qu'à une seule reprise. Elle ajoute ne pas connaître le lieu de résidence actuel de sa fille et que son fils se trouve en Italie. Elle conclut ne plus avoir accès à ses enfants et que son casier judiciaire est vierge.</w:t>
      </w:r>
    </w:p>
    <w:p>
      <w:r>
        <w:rPr>
          <w:b/>
        </w:rPr>
        <w:t>E. 5.2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w:t>
      </w:r>
    </w:p>
    <w:p>
      <w:r>
        <w:t>- 10 -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w:t>
      </w:r>
    </w:p>
    <w:p>
      <w:r>
        <w:rPr>
          <w:b/>
        </w:rPr>
        <w:t>E. 5.3</w:t>
      </w:r>
    </w:p>
    <w:p>
      <w:r>
        <w:t>En l'espèce, même après l’épisode du couteau qui s'est déroulé en octobre 2021, la recourante a à nouveau été violente envers sa fille, à tout le moins le 16 novembre 2021. Ce comportement s’inscrit dans la droite ligne de ses explications, lors desquelles elle a admis que certains actes avaient été commis à titre de punition. Par ailleurs, le père d'[...] aurait déclaré à [...] que ce n’était pas inhabituel que la recourante dirige un couteau contre lui-même ou contre son enfant. Il s’ensuit que la sécurité de la fille et du fils de la recourante est clairement exposée et leur protection doit primer sur la liberté de N.________. Il existe ainsi un risque non négligeable de récidive.</w:t>
      </w:r>
    </w:p>
    <w:p>
      <w:r>
        <w:t>- 11 - 6. Au vu de ce qui précède, c’est à juste titre que le Tribunal des mesures de contrainte a retenu l’existence d’un risque de collusion et de réitération. Les motifs fondant la détention provisoire étant alternatifs (TF 1B_249/2011 du 7 juin 2011 consid. 2.4), la question de l’existence d’un risque de fuite, ou de passage à l'acte, suffisamment concret peut être laissée ouverte. 7. 7.1 La recourante requiert enfin que les mesures de substitution proposées par le Ministère public soient prononcées en lieu et place de la détention provisoire. 7.2 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7.3 En l'espèce, à ce stade de l’enquête, les mesures de substitution proposées sont clairement insuffisantes pour pallier les risques retenus. En effet, en cas de libération, rien n’empêchera la recourante de contacter le père de son fils et/ou sa fille pour tenter de les influencer. Les mesures proposées ne sont pas à même de l'éviter. Elles permettraient uniquement de constater par la suite leur non-respect. Ces</w:t>
      </w:r>
    </w:p>
    <w:p>
      <w:r>
        <w:t>- 12 - mesures ne pourront d'ailleurs pas non plus empêcher concrètement N.________ de porter atteinte à l’intégrité de ses enfants. Le respect de celles-ci dépendra uniquement du bon vouloir de la recourante. Or, à ce stade, son attitude, la minimisation qu'elle fait de ses actes et les éléments qui ressortent du dossier tendent plutôt au pessimisme et à l'inquiétude. Il résulte en effet de l’enquête que la recourante serait sous l’influence de sa nièce, la prophète Rita, et de pasteurs africains, lesquels dicteraient ses comportements. Les mesures proposées sont donc prématurées. Une expertise psychiatrique de la recourante doit être mise en œuvre et ce n’est que sur la base des conclusions de l'expert que la dangerosité de la prévenue pourra clairement être déterminée et, cas échéant, un allégement des mesures prises à son encontre envisagé. La sécurité publique et les besoins de l’enquête commandent par conséquent le maintien en détention de N.________. 8. 8.1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145 IV 179 consid. 3.1; ATF 133 I 168 consid. 4.1 et la jurisprudence citée). 8.2 N.________ n'est détenue que depuis le 24 novembre 2021 et elle l'aura été pendant trois mois au terme de la détention ordonnée en l'état. Au vu de la gravité des faits qui lui sont reprochés et de la peine encourue, la durée de la détention n'est pas critiquable et elle est pleinement proportionnée.</w:t>
      </w:r>
    </w:p>
    <w:p>
      <w:r>
        <w:rPr>
          <w:b/>
        </w:rPr>
        <w:t>E. 9</w:t>
      </w:r>
    </w:p>
    <w:p>
      <w:r>
        <w:t>Il résulte de ce qui précède que le recours, manifestement mal fondé, doit être rejeté sans échange d'écritures (art. 390 al. 2 CPP) et l'ordonnance du 25 novembre 2021 confirmée. L’indemnité allouée au défenseur d’office de N.________ sera fixée, en l'absence de liste d'opérations produite avec le recours (TPF BB.2019.183 du 7 novembre 2019), en tenant compte d’une activité</w:t>
      </w:r>
    </w:p>
    <w:p>
      <w:r>
        <w:t>- 13 - nécessaire d'avocat estimée à 3 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à 540 fr., auxquels s'ajoutent 2% de débours forfaitaires (art. 2 al. 1 let. a et 3bis RAJ, applicables par renvoi de l'art. 26b TFIP), par 10 fr. 80, et la TVA à 7,7%, par 42 fr. 40, soit à 594 fr. au total en chiffres arrondis. Les frais de la procédure de recours, constitués en l'espèce de l'émolument d'arrêt (art. 422 al. 1 CPP), par 1'320 fr. (art. 20 al. 1 TFIP), et des frais imputables à la défense d'office (art. 422 al. 1 et 2 let. a CPP), par 594 fr., seront mis à la charge de N.________,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25 novembre 2021 est confirmée. III. L’indemnité allouée à Me Pascal Martin, défenseur d’office de N.________, est fixée à 594 fr. (cinq cent nonante quatre francs). IV. Les frais d'arrêt, par 1'320 fr. (mille trois cent vingt francs), ainsi que l'indemnité allouée au défenseur d'office de la recourante, par 594 fr. (cinq cent nonante quatre francs), sont mis à la charge de N.________.</w:t>
      </w:r>
    </w:p>
    <w:p>
      <w:r>
        <w:t>- 14 - V. Le remboursement à l'Etat de l'indemnité allouée au chiffre III ci-dessus ne sera exigible que pour autant que la situation financière de N.________ le permette. VI. L’arrêt est exécutoire. Le président : La greffière : Du Le présent arrêt, dont la rédaction a été approuvée à huis clos, est notifié, par l'envoi d'une copie complète, à : - Me Pascal Martin (pour N.________), - Ministère public central, et communiqué à : - Mme G.________, - Mme la Présidente du Tribunal des mesures de contrainte,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- 15 -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