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PE21.020108 vom 22. Februar 2022</w:t>
      </w:r>
    </w:p>
    <w:p>
      <w:r>
        <w:t>VD Tribunal cantonal, 2022-02-22, FR</w:t>
      </w:r>
    </w:p>
    <w:p>
      <w:r>
        <w:rPr>
          <w:b/>
        </w:rPr>
        <w:t xml:space="preserve">Quelle: </w:t>
      </w:r>
      <w:r>
        <w:t>https://mcp.opencaselaw.ch/entscheid/vd_gerichte_PE21.020108</w:t>
      </w:r>
    </w:p>
    <w:p>
      <w:r>
        <w:t>FR: VD_GERICHTE PE21.020108 du 22 février 2022</w:t>
      </w:r>
    </w:p>
    <w:p>
      <w:r>
        <w:t>IT: VD_GERICHTE PE21.020108 del 22 febbraio 2022</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w:t>
      </w:r>
    </w:p>
    <w:p>
      <w:r>
        <w:rPr>
          <w:b/>
        </w:rPr>
        <w:t>E. 1.2</w:t>
      </w:r>
    </w:p>
    <w:p>
      <w:r>
        <w:t>Interjeté dans le délai légal par un détenu qui a qualité pour recourir (art. 222 et 382 al. 1 CPP) et dans les formes prescrites (art. 385 al. 1 CPP), le recours de Y.________ est recevable.</w:t>
      </w:r>
    </w:p>
    <w:p>
      <w:r>
        <w:rPr>
          <w:b/>
        </w:rPr>
        <w:t>E. 2</w:t>
      </w:r>
    </w:p>
    <w:p>
      <w:r>
        <w:t>Le recourant fait valoir que les soupçons initiaux – qui ne se seraient pas accrus depuis lors – ne se résument en définitive qu’à une rupture de ban et à une contravention à la LStup. Il relève qu’après trois mois d’instruction, la thèse d’un trafic de produits stupéfiants n’a pas été vérifiée et qu’en conséquence, les faits qui lui sont reprochés ne justifient pas son maintien en détention provisoire.</w:t>
      </w:r>
    </w:p>
    <w:p>
      <w:r>
        <w:t>- 7 -</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1B_572/2021 du 5 novembre 2021 consid. 2.1 ; Chaix, op. cit., n. 6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w:t>
      </w:r>
    </w:p>
    <w:p>
      <w:r>
        <w:t>- 8 - examiner s'il existe des indices sérieux de culpabilité justifiant une telle mesure (ATF 143 IV 330 consid. 2.1, JdT 2018 IV 39 ; ATF 137 IV 122 consid. 3.2 ; ATF 124 I 208 consid. 3 ; TF 1B_1/2022 du 17 janvier 2022 consid. 3.1 ; Forster, in : Niggli/Heer/Wiprächtiger [éd.], Basler Kommentar, Schweizerische Strafprozess-ordnung, 2e éd., Bâle 2014, n. 3 ad art. 221 CPP).</w:t>
      </w:r>
    </w:p>
    <w:p>
      <w:r>
        <w:rPr>
          <w:b/>
        </w:rPr>
        <w:t>E. 2.2</w:t>
      </w:r>
    </w:p>
    <w:p>
      <w:r>
        <w:t>En l’espèce, s’il est vrai, comme le soutient le recourant qu’il a été intercepté avec six bodypack de cocaïne représentant finalement une quantité pure de 5,3 g de cocaïne (P. 23), il n’en demeure pas moins que ses explications, selon lesquelles cette substance était destinée à sa consommation et à celle d’amis, semblent peu crédibles, ne serait-ce qu’eu égard au modus operandi qu’il a décrit et utilisé pour conditionner la marchandise. Ont de plus été retrouvés lors de la perquisition du domicile qu’il occupe divers téléphones portables, du matériel de conditionnement, soit des sachets gris, identique à celui qui emballait la cocaïne trouvée sur les lieux de son interpellation et 1'050 fr. notamment. Le prévenu a d’ailleurs lui-même admis dans un premier temps qu’il avait préparé d’autres paquets de stupéfiants, pour le compte d’une connaissance, en échange d’un logis. A cela s’ajoute qu’il a essayé de cacher la clef de l’appartement perquisitionné ensuite, en la mettant dans sa bouche, voire en l’avalant. Les précédentes condamnations du recourant, dont celle à une peine de détention de trente-six mois pour délit contre la LStup renforcent encore les soupçons selon lesquels il se serait, à nouveau, adonné à un trafic de produits stupéfiants. Ainsi on ne saurait admettre que les soupçons de commission d’infraction se limitent seulement à une contravention à la LStup et qu’il n’y a aucun indice de participation à un trafic de stupéfiants. Il y a lieu en l’état de retenir des soupçons sérieux à tout le moins de délit à la LStup. Enfin, ce n’est qu’après analyse du téléphone trouvé en possession du recourant – dont il a refusé de donner le code d’accès – et de ceux retrouvés à son domicile que pourra être déterminée plus précisément l’ampleur de son activité. Par ailleurs, l’infraction de rupture de ban qui est passible d’une peine privative de liberté de trois ans au plus ou d’une peine</w:t>
      </w:r>
    </w:p>
    <w:p>
      <w:r>
        <w:t>- 9 - pécuniaire semble bien réalisée, le recourant lui-même ayant reconnu avoir réintégré le territoire suisse alors qu’il savait ne pas y être autorisé. Enfin, lors de son interpellation, le recourant a mordu et griffé un agent qui tentait de lui faire cracher la clef qu’il avait mise dans sa bouche, étant précisé qu’il a lui-même été blessé. Il existe dès lors également des soupçons de commission de l’infraction de violence ou menace contre les autorités et les fonctionnaires au sens de l’art. 285 CP (Code pénal suisse du 21 décembre 1937 ; RS 311.0). Au vu de ce qui précède, il convient de retenir qu’il existe bien de graves soupçons à l’encontre du recourant de commission de trois infractions. La condition des charges suffisantes posée à l’art. 221 al. 1 CPP est dès lors réalisée. Sur ce point, le recours est donc mal fondé.</w:t>
      </w:r>
    </w:p>
    <w:p>
      <w:r>
        <w:rPr>
          <w:b/>
        </w:rPr>
        <w:t>E. 3</w:t>
      </w:r>
    </w:p>
    <w:p>
      <w:r>
        <w:t>Le recourant ne développe, à juste titre, pas de motivation en lien avec les risques de fuite et de réitération retenus. Ces risques sont en effet manifestement toujours réalisés, la Chambre de céans faisant sienne la motivation du Tribunal des mesures de contrainte à ce propos.</w:t>
      </w:r>
    </w:p>
    <w:p>
      <w:r>
        <w:rPr>
          <w:b/>
        </w:rPr>
        <w:t>E. 4</w:t>
      </w:r>
    </w:p>
    <w:p>
      <w:r>
        <w:t>Le recourant affirme encore que le principe de proportionnalité serait violé par la prolongation de sa détention provisoire ; il soutient que la limite à partir de laquelle la détention subie pourrait avoir un impact sur la peine susceptible d’être prononcée en cas de verdict de culpabilité est atteinte.</w:t>
      </w:r>
    </w:p>
    <w:p>
      <w:r>
        <w:rPr>
          <w:b/>
        </w:rPr>
        <w:t>E. 4.1</w:t>
      </w:r>
    </w:p>
    <w:p>
      <w:r>
        <w:t>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w:t>
      </w:r>
    </w:p>
    <w:p>
      <w:r>
        <w:t>- 10 - prennent pas en considération dans la fixation de la peine la durée de la détention avant jugement à imputer selon l'art. 51 CP (ATF 145 IV 179 consid. 3.1, JdT 2020 IV 3 ; ATF 143 IV 168 consid. 5.1 ; ATF 139 IV 270 consid. 3.1). Afin d'éviter d'empiéter sur les compétences du juge du fond, le juge de la détention ne tient en principe pas compte de l'éventuel octroi, par l'autorité de jugement, d'un sursis, d'un sursis partiel ou d'une libération conditionnelle (ATF 145 IV 179 consid. 3.4 ; ATF 143 IV 168 consid. 5.1) ; pour entrer en considération sur cette dernière hypothèse, son octroi doit être d'emblée évident (TF 1B_383/2021 du 4 août 2021 consid. 4.1 ; TF 1B_158/2021 du 20 avril 2021 consid. 2.1 ; TF 1B_185/2020 du 29 avril 2020 consid. 4.1 et l'arrêt cité). Selon la jurisprudence, le principe de proportionnalité impose aux autorités pénales, lors du contrôle de la durée de la détention avant jugement, d'être d'autant plus prudentes lorsque la durée de cette mesure s'approche de celle de la peine privative de liberté encourue ; le rapport entre la durée de la détention déjà subie et celle encourue n'est en tout cas pas seul déterminant (ATF 145 IV 179 consid. 3.5). Conformément au principe de la proportionnalité ancré à l'art.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La liste de l'art. 237 al. 2 CPP est exemplative et le juge de la détention peut également, le cas échéant, assortir les mesures de substitution de toute condition propre à en garantir l'efficacité (ATF 145 IV 503 consid. 3.1).</w:t>
      </w:r>
    </w:p>
    <w:p>
      <w:r>
        <w:rPr>
          <w:b/>
        </w:rPr>
        <w:t>E. 4.2</w:t>
      </w:r>
    </w:p>
    <w:p>
      <w:r>
        <w:t>En l’espèce, comme on l’a vu, les préventions qui pèsent sur le recourant ne relèvent, contrairement à ce qu’il prétend, pas exclusivement de contraventions, puisqu’il est soupçonné d’avoir pris part à un trafic de produits stupéfiants, de s’être fait l’auteur de violence à l’encontre d’un agent en fonction et d’avoir réintégré le territoire suisse au mépris d’une mesure d’expulsion judiciaire prononcée à son encontre. Les</w:t>
      </w:r>
    </w:p>
    <w:p>
      <w:r>
        <w:t>- 11 - faits envisagés relèvent du délit. Ils s’inscrivent de surcroit dans un contexte de récidive spéciale, chez un délinquant dont le casier judiciaire comporte sept inscriptions entre 2015 et 2019, la plus récente condamnation ayant été prononcée par un tribunal correctionnel. Compte tenu de ce qui précède, la durée de la détention, même prolongée de deux mois comme le prévoit l’ordonnance querellée, n’apparaît pas excessive au regard de la peine encourue concrètement en cas de condamnation. Pour le surplus, le recourant ne saurait tirer de bonne foi aucun motif du fait que l’enquête est plus lente que d’ordinaire en pareilles circonstances, dès lors qu’il n’est pas étranger à la complexification de celle-ci, en raison de son refus de fournir les codes d’accès aux divers téléphones dont les données doivent être extraites. Le grief tiré de la violation du principe de la proportionnalité doit donc être rejeté. Pour le surplus, aucune mesure de substitution (art. 237 CPP) n’est susceptible de prévenir valablement les risques de fuite et de réitération retenus, le recourant n’en proposant du reste aucune.</w:t>
      </w:r>
    </w:p>
    <w:p>
      <w:r>
        <w:rPr>
          <w:b/>
        </w:rPr>
        <w:t>E. 5</w:t>
      </w:r>
    </w:p>
    <w:p>
      <w:r>
        <w:t>Il résulte de ce qui précède que le recours, manifestement mal fondé, doit être rejeté sans échange d’écritures (art. 390 al. 2 CPP) et l’ordonnance du 11 février 2022 confirmée. Les frais de la procédure de recours, constitués de l’émolument d’arrêt, par 1’210 fr. (art. 20 al. 1 TFIP [tarif des frais de procédure et indemnités en matière pénale du 28 septembre 2010 ; BLV 312.03.1]), et des frais imputables à la défense d’office (art. 422 al. 1 et 2 let. a CPP), fixés à 360 fr. (deux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7 fr. 20, et la TVA, par 28 fr. 30, soit 396 fr. au total, en chiffres arrondis, seront mis à la charge du recourant, qui succombe (art. 428 al. 1, 1re phrase, CPP).</w:t>
      </w:r>
    </w:p>
    <w:p>
      <w:r>
        <w:t>- 12 -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11 février 2022 est confirmée. III. L’indemnité allouée au défenseur d’office de Y.________ est fixée à 396 fr. (trois cent nonante-six francs). IV. Les frais d’arrêt, par 1’210 fr. (mille deux cent dix francs), ainsi que l’indemnité due au défenseur d’office de Y.________, par 396 fr. (trois cent nonante-six francs), sont mis à la charge de ce dernier. V. Le remboursement à l’Etat de l’indemnité allouée au chiffre III ci-dessus ne sera exigible que pour autant que la situation financière de Y.________ le permette. VI. L’arrêt est exécutoire. La présidente : La greffière : Du Le présent arrêt, dont la rédaction a été approuvée à huis clos, est notifié, par l'envoi d'une copie complète, à : - Me Jean-Nicolas Roud, avocat (pour Y.________), - Ministère public central,</w:t>
      </w:r>
    </w:p>
    <w:p>
      <w:r>
        <w:t>- 13 - et communiqué à : - M. le Président du Tribunal des mesures de contrainte,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