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PE21.019884 vom 26. September 2022</w:t>
      </w:r>
    </w:p>
    <w:p>
      <w:r>
        <w:t>VD Tribunal cantonal, 2022-09-26, FR</w:t>
      </w:r>
    </w:p>
    <w:p>
      <w:r>
        <w:rPr>
          <w:b/>
        </w:rPr>
        <w:t xml:space="preserve">Quelle: </w:t>
      </w:r>
      <w:r>
        <w:t>https://mcp.opencaselaw.ch/entscheid/vd_gerichte_PE21.019884</w:t>
      </w:r>
    </w:p>
    <w:p>
      <w:r>
        <w:t>FR: VD_GERICHTE PE21.019884 du 26 septembre 2022</w:t>
      </w:r>
    </w:p>
    <w:p>
      <w:r>
        <w:t>IT: VD_GERICHTE PE21.019884 del 26 settembre 2022</w:t>
      </w:r>
    </w:p>
    <w:p>
      <w:pPr>
        <w:pStyle w:val="Heading2"/>
      </w:pPr>
      <w:r>
        <w:t>Erwägungen</w:t>
      </w:r>
    </w:p>
    <w:p>
      <w:r>
        <w:rPr>
          <w:b/>
        </w:rPr>
        <w:t>E. 11</w:t>
      </w:r>
    </w:p>
    <w:p>
      <w:r>
        <w:t>décembre 2021 », au sein des EPO (P. 17). g) Par ordonnance pénale du 23 juin 2022, le Ministère public a dit que M.________ s’était rendu coupable de lésions corporelles simples, de dommages à la propriété, d’injure, de menaces, de contrainte, de violation de domicile et de contravention à la Loi fédérale sur les stupéfiants, a condamné M.________ à une peine privative de liberté de 150 jours, à une peine pécuniaire de 20 jours-amende, la valeur du jour- amende étant fixée à 30 fr., et à une amende de 100 fr., peine convertible en un jour de peine privative de liberté de substitution en cas de non- paiement dans le délai imparti, a renvoyé Y.________ à agir devant le juge civil et a mis 525 fr. de frais de procédure à la charge de M.________. Aucune opposition n’a été formée contre cette ordonnance (PV des op., p. 4). B. Par ordonnance du 23 juin 2022, le Ministère public a refusé d’entrer en matière (I) et a laissé les frais à la charge de l’Etat (II). En substance, le procureur a considéré que les faits dénoncés par Y.________ ne réunissaient manifestement pas les éléments constitutifs des infractions d’agression et de dommages à la propriété, dès lors qu’O.________ et P.________ n’avaient, d’une part, pas frappé Y.________, et, d’autre part, que leurs agissements n’étaient pas suffisamment caractérisés pour réaliser ces infractions. Il a relevé que leur intention délictueuse n’était pas établie, contrairement à celle manifeste de M.________, condamné par ordonnance pénale séparée. Il a également précisé que la procédure administrative ouverte par la Direction des EPO en raison de ces faits n’était pas dirigée contre O.________ et P.________. C. Par acte du 5 juillet 2022, Y.________ a interjeté recours contre cette ordonnance en concluant à son annulation et à ce que la cause soit instruite par un autre procureur. Il a également conclu à ce qu’une indemnité de 3’000 fr. lui soit allouée à titre de réparation du tort moral.</w:t>
      </w:r>
    </w:p>
    <w:p>
      <w:r>
        <w:t>- 4 - Par lettre du 15 septembre 2022, le Ministère public a déposé des déterminations et a conclu au rejet du recours. Il soutient que les rôles de P.________ et de O.________ étaient marginaux, qu’ils n’ont pas été sanctionnés par les EPO, et que Y.________ insisterait alors que, par ordonnance pénale du 23 juin 2022 (cf. supra let. A/g), M.________ a notamment été condamné pour les faits qui ont eu lieu à son encontre les 21 septembre et 11 décembre 2021. En d roit : 1. 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le plaignant qui a qualité pour recourir (art. 382 al. 1 CPP), le recours formé par Y.________ est recevable. 2. 2.1 Le recourant reproche au Ministère public d’avoir rendu une ordonnance de non-entrée en matière. Il fait valoir que P.________ aurait aidé M.________ à le frapper et aurait également voulu le frapper, même s’il n’y était pas parvenu. Il aurait toutefois réussi à déchirer sa jaquette lors de l’altercation. Il soutient en outre qu’O.________ aurait délibérément ouvert plusieurs portes des cellules voisines à la sienne, afin d’empêcher que les caméras de surveillance puissent filmer la scène. Ainsi, il estime que P.________ et O.________ auraient fonctionné comme instigateurs ou complices de l’agression dont il a été victime.</w:t>
      </w:r>
    </w:p>
    <w:p>
      <w:r>
        <w:t>- 5 - 2.2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w:t>
      </w:r>
    </w:p>
    <w:p>
      <w:r>
        <w:rPr>
          <w:b/>
        </w:rPr>
        <w:t>E. 15</w:t>
      </w:r>
    </w:p>
    <w:p>
      <w:r>
        <w:t>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précité consid. 4.1.2 ;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- 6 - 2.2.2 L’art. 134 CP (Code pénal suisse du 21 décembre 1937 ; RS 311.0) réprime par une peine privative de liberté de cinq ans au plus ou d’une peine pécuniaire le comportement de celui qui aura participé à une agression dirigée contre une ou plusieurs personnes au cours de laquelle l’une d’entre elles ou un tiers aura trouvé la mort ou subi une lésion corporelle. L’agression se singularise par le caractère unilatéral des actes de violence exercés par les agresseurs ; ceux-ci sont à l’origine des violences exercées contre la ou les victimes, dont le rôle demeure essentiellement passif (Dupuis et al. [éd.], Petit commentaire, Code pénal, 2e éd. 2017, n. 3 ad art. 134 CP). Pour que les éléments constitutifs de l’agression, qui est une infraction de mise en danger, soient réunis, il faut que l’une ou plusieurs des personnes agressées soient blessées ou tuées. Il s’agit-là d’une condition objective de punissabilité. Cela signifie que l’auteur se rend passible d’une peine du seul fait de sa participation à l’agression. Par conséquent, il suffit de prouver l’intention de l’auteur de participer à l’agression, sans qu’il soit nécessaire d’établir qu’il a voulu donner la mort ou provoquer des lésions corporelles (ATF 135 IV 152 consid. 2.1.1 ; TF 6B_516/2014 du 29 janvier 2015 consid. 1 ; TF 6B_373/2011 du 14 janvier 2011 consid. 3.2). L’infraction d’agression est en effet réalisée du moment où deux personnes au moins auront pris part à une attaque physique dirigée contre autrui (TF 6B_402/2019 du 27 août 2019 consid. 2.2). Les lésions corporelles simples au sens de l’art. 123 CP sont définies par exclusion des lésions corporelles graves au sens de l’art. 122 CP, l’art. 123 ch. 1 al. 1 CP prévoyant que celui qui, intentionnellement, aura fait subir à une personne une autre atteinte à l’intégrité corporelle ou à la santé sera, sur plainte, puni d’une peine privative de liberté de trois ans au plus ou d’une peine pécuniaire. S’il peut être établi que l’un des agresseurs, intentionnellement ou par négligence, cause des lésions corporelles, l’infraction de lésions visées par les</w:t>
      </w:r>
    </w:p>
    <w:p>
      <w:r>
        <w:t>- 7 - art. 122 ss CP absorbe, en ce qui le concerne, l’agression au sens de l’art. 134 CP ; en effet, l’infraction de lésions corporelles saisit et réprime déjà la mise en danger effective de la personne blessée lors de l’infraction ; dès lors un concours entre les art. 134 CP et 122 ss CP ne peut être envisagé, lorsqu’une seule personne est blessée, que si lors de l’agression elle n’a subi que des lésions corporelles simples mais que la mise en danger a dépassé en intensité le résultat intervenu (ATF 135 IV 152 précité consid. 2.1.2 ; TF 6B_373/2011 précité consid. 3.3). 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ainsi envisageable que si l’infraction absorbante est effectivement sanctionnée ; lorsque tel ne peut être le cas, par exemple en l’absence de plainte nécessaire, l’intéressé reste condamnable en vertu de l’infraction en principe absorbée (TF 6B_373/2011 précité consid. 3.4 et les références citées). 2.2.3 L’art. 144 CP punit, sur plainte, celui qui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 Corboz, Les principales infractions, 3e éd., Berne 2010, nn. 11 ss ad art. 144 CP).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w:t>
      </w:r>
    </w:p>
    <w:p>
      <w:r>
        <w:t>- 8 - changer l’état (cf. art. 12 al. 2 CP ; ATF 116 IV 143 ; Dupuis et al. [éd.], op.cit., n. 16 ad art. 144 CP et les réf. citées ; Corboz, op. cit., n. 23 ad art. 144 CP). Sauf disposition expresse et contraire de la loi, est seul punissable l’auteur d’un crime ou d’un délit qui agit intentionnellement (art. 12 al. 1 CP). L’art. 144 CP ne réprime donc pas les dommages à la propriété causés par négligence. 2.3 En l’espèce, le Ministère public a considéré que les éléments constitutifs des infractions d’agression et de dommages à la propriété n’étaient manifestement pas réalisés à l’égard de P.________ et d’O.________. Il convient de relever que Y.________ ne revient pas sur les faits objets de sa plainte du 21 septembre 2021, laquelle vise M.________ et notamment pour lesquels celui-ci a été condamné le 23 juin 2022 (cf. supra let. A/g). Dans le rapport d’enquête des EPO du 11 décembre 2021 établi par l’enquêteur [...] (P. 17, P. 17/1), celui-ci indique que les images de la vidéosurveillance du 11 décembre 2021 révèlent que les portes des cellules de M.________, d’O.________ et de P.________ ont été ouvertes par O.________. L’enquêteur indique qu’« il est à supposer que ces portes [ont été] ouvertes préalablement […] par [O.________] pour obstruer le champ de vision des caméras ». Ces images montrent également que « Y.________ retenu [est] tiré vers la cellule de P.________ par ce dernier » mais qu’il a réussi à se dégager (P. 17/1). En outre, il ressort également de la décision de classement des EPO du 13 décembre 2021 (P. 17/2) que « P.________ tente […] d’amener dans [sa cellule] Y.________, en le tirant violemment » ; toutefois, le personnel de sécurité intervient à ce moment- là et il est constaté que du sang se trouve sur le visage de Y.________. L’ordonnance pénale du 23 juin 2022 rendue à l’encontre de M.________ (cf. supra let. A/g) retient que Y.________ a été poussé par le prénommé en direction de P.________, qui se trouvait dans la cellule d’en face, et que ce dernier a saisi le recourant qui est parvenu à se départir. Enfin, dans le procès-verbal d’audition des EPO du 13 décembre 2021, il est indiqué que Y.________ a considéré « qu’une autre personne détenue a également participé à cette altercation en positionnant les portes de cellule pour que</w:t>
      </w:r>
    </w:p>
    <w:p>
      <w:r>
        <w:t>- 9 - personne ne puisse voir ce qu’il se passait » et que « le codétenu séjournant dans la cellule en face de la sienne l’aurait violemment tiré par le pull pour l’amener dans sa cellule ». Ainsi, il ressort du dossier qu’il n’est pas exclu que P.________ ait effectivement cherché à participer à l’agression du 11 décembre 2021, dont M.________ semble s’être rendu coupable. En effet, en participant d’un commun accord avec M.________ à l’attaque en question, P.________ est susceptible de s’être rendu coupable d’agression. A ce titre, il restera à établir si les atteintes subies par le recourant, telles qu’elles ressortent du constat de coups et blessures établi le 13 décembre 2021, peuvent être qualifiées de lésions corporelles simples, ce qui semble pouvoir être le cas. En outre, les éléments constitutifs de l’infraction de dommages à la propriété ne peuvent pas être exclus puisque P.________, en « tirant violemment » (P. 17/2) le recourant par le pull, a pu avoir l’intention, par dol éventuel, de lui causer un tel dommage. S’agissant du comportement adopté par O.________, le seul reproche qui lui est adressé serait d’avoir ouvert les portes des cellules voisines afin d’obstruer le champ de vision des caméras ; or cette affirmation reste au champ des suppositions, celui- ci n’ayant en effet pas été entendu. Il ne peut toutefois d’emblée être exclu que celui-ci n’aurait pas, de la sorte, entendu apporter son aide et, par conséquent, s’être également rendu coupable d’agression. La police n’a pas procédé aux auditions de P.________ ni d’O.________ de sorte que leur version des faits n’a pas été recueillie. Quant à M.________, entendu notamment pour les faits objets de la plainte du 21 septembre 2021, celui-ci a refusé de s’expliquer et de répondre aux questions de la police (PV aud. 2). Il résulte de ce qui précède que, contrairement à ce qu’affirme péremptoirement l’ordonnance attaquée, la situation n’est pas claire du point de vue des faits et, à ce stade, il ne peut pas être exclu que les infractions dont le recourant se plaint aient pu être commises. C’est donc à tort que le procureur a rendu une ordonnance de non-entrée en matière. Il lui appartiendra dès lors d’ouvrir une instruction pénale et de procéder</w:t>
      </w:r>
    </w:p>
    <w:p>
      <w:r>
        <w:t>- 10 - lui-même aux auditions du recourant, de P.________ et d’O.________, afin de recueillir l’ensemble de leurs déclarations. 2.4 Le recourant demande qu’en cas d’annulation de l’ordonnance, la cause soit transférée à un autre procureur. On n’en voit pas les motifs, d’autant plus que les justiciables ne sauraient avoir le choix de leur juge. Toutefois si, après le renvoi du dossier, le recourant entend solliciter formellement la récusation du procureur, il lui sera loisible de le faire, étant précisé qu’il lui appartiendra d’invoquer à cet effet des circonstances graves et objectives justifiant une apparence de prévention, de simples suppositions à cet égard étant insuffisantes. 3. En définitive, le recours doit être admis, l’ordonnance entreprise annulée et le dossier de la cause renvoyé au Ministère public de l’arrondissement du Nord vaudois pour instruction dans le sens des considérants. S’agissant de la conclusion du recourant tendant à l’octroi d’une indemnité à titre de réparation morale, il lui appartiendra le cas échéant d’adresser cette requête à la direction de la procédure, soit au Ministère public ou au Tribunal de première instance, la Chambre de céans n’étant, à ce stade, pas compétente pour statuer sur ce point. Vu l’admission du recours, les frais de la procédure, constitués du seul émolument d’arrêt, par 1’100 fr. (art. 20 al. 1 TFIP [Tarif des frais de procédure et indemnités en matière pénale du 28 septembre 2010 ; BLV 312.03.1]), seront laissés à la charge de l’Etat (art. 428 al. 4 CPP).</w:t>
      </w:r>
    </w:p>
    <w:p>
      <w:r>
        <w:t>- 11 - Par ces motifs, la Chambre des recours pénale prononce : I. Le recours est admis. II. L’ordonnance du 23 juin 2022 est annulée. III. Le dossier de la cause est renvoyé au Ministère public de l’arrondissement du Nord vaudois pour qu’il procède dans le sens des considérants. IV. Les frais d’arrêt, par 1’100 fr. (mille cent francs), sont laissés à la charge de l’Etat. V. L’arrêt est exécutoire. La présidente : La greffière : Du Le présent arrêt, dont la rédaction a été approuvée à huis clos, est notifié, par l’envoi d’une copie complète, à : - M. Y.________,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