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PE21.019820 vom 25. April 2023</w:t>
      </w:r>
    </w:p>
    <w:p>
      <w:r>
        <w:t>VD Tribunal cantonal, 2023-04-25, FR</w:t>
      </w:r>
    </w:p>
    <w:p>
      <w:r>
        <w:rPr>
          <w:b/>
        </w:rPr>
        <w:t xml:space="preserve">Quelle: </w:t>
      </w:r>
      <w:r>
        <w:t>https://mcp.opencaselaw.ch/entscheid/vd_gerichte_PE21.019820</w:t>
      </w:r>
    </w:p>
    <w:p>
      <w:r>
        <w:t>FR: VD_GERICHTE PE21.019820 du 25 avril 2023</w:t>
      </w:r>
    </w:p>
    <w:p>
      <w:r>
        <w:t>IT: VD_GERICHTE PE21.019820 del 25 aprile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le plaignant qui a la qualité pour recourir (art. 382 al. 1 CPP). Au surplus, le recours satisfait aux conditions de forme prescrites (art. 385 al. 1 CPP). Il est donc recevable.</w:t>
      </w:r>
    </w:p>
    <w:p>
      <w:r>
        <w:rPr>
          <w:b/>
        </w:rPr>
        <w:t>E. 2.1.1</w:t>
      </w:r>
    </w:p>
    <w:p>
      <w:r>
        <w:t>Le recourant invoque que le refus d’une nouvelle expertise ou de tout complément d’expertise constituerait une violation de son droit</w:t>
      </w:r>
    </w:p>
    <w:p>
      <w:r>
        <w:t>- 5 - d’être entendu et consacrerait une appréciation arbitraire des preuves. Il fait grief au Procureur d’avoir considéré que l’expertise privée de la graphologue [...] ne pouvait pas infirmer la force probante de l’expertise judiciaire, alors même que l’expert [...] avait réservé toute autre hypothèse dont le juge aurait connaissance (cf. recours, p. 4). Le recourant reproche en outre au magistrat d’avoir fait fi de la teneur d’un courriel adressé le 6 mars 2020 par N.________ au conseil adverse, par lequel l’administrateur de [...] aurait affirmé que le recourant n’avait jamais signé d’autre contrat que l’accord initial du 8 janvier 2018 (P. 6/14, fourre « Pièces de forme ») ; de même, le Procureur aurait ignoré un courrier que lui avait adressé N.________ le 31 janvier 2020 dans le même complexe de faits, lequel se référait encore à l’accord du 8 janvier 2018 en passant sous silence le second contrat allégué par le défendeur au civil, soit celui du 4 juin 2018 (P. 6/2).</w:t>
      </w:r>
    </w:p>
    <w:p>
      <w:r>
        <w:rPr>
          <w:b/>
        </w:rPr>
        <w:t>E. 2.1.2</w:t>
      </w:r>
    </w:p>
    <w:p>
      <w:r>
        <w:t>En l’occurrence, le grief déduit de la violation du droit d’être entendu se confond avec celui tiré de l’appréciation arbitraire des preuves, de sorte que ces deux moyens seront examinés conjointement. En réalité, le recourant se plaint de l’appréciation différente de la sienne qui a été faite par le Procureur des éléments de l’instruction.</w:t>
      </w:r>
    </w:p>
    <w:p>
      <w:r>
        <w:rPr>
          <w:b/>
        </w:rPr>
        <w:t>E. 2.2</w:t>
      </w:r>
    </w:p>
    <w:p>
      <w:r>
        <w:t>Selon l'art. 319 al. 1 CPP, le ministère public ordonne le classement de tout ou partie de la procédure notamment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et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du 21 décembre 2005 relatif à l'unification du</w:t>
      </w:r>
    </w:p>
    <w:p>
      <w:r>
        <w:t>- 6 - droit de la procédure pénale, FF 2006 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2.3.1</w:t>
      </w:r>
    </w:p>
    <w:p>
      <w:r>
        <w:t>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w:t>
      </w:r>
    </w:p>
    <w:p>
      <w:r>
        <w:t>- 7 - son travail ou lorsqu’il apparaît que l’expert n’a pas pris connaissance des pièces qui lui avaient été transmises lorsqu’il a été mandaté (Vuille, in : Jeanneret/Kuhn/Perrier Depeursinge [éd.], Commentaire romand, Code de procédure pénale suisse, 2e éd., Bâle 2019, n. 8 ad art. 189 CPP ; CREP 28 février 2018/162 et les références citées ; voir également : TF 6B_980/2020 du 23 novembre 2020 consid. 3.1 et les références citées). L’expertise devra notamment être complétée, respectivement actualisée, si les circonstances ont changé depuis sa rédaction et qu’il y a lieu de penser que le résultat de l’expertise serait différent si elle était rédigée aujourd’hui (Vuille, op. cit., n. 8a ad art. 189 CPP et la référence citée). Une expertise est peu claire (cf. art. 189 let. a CPP) lorsqu’elle contient des erreurs, des contradictions ou des lacunes, notamment lorsqu’elle omet de rendre compte de positions doctrinales différentes de celle retenue par l’auteur du rapport, lorsqu’elle ne rend pas compte du raisonnement et de la méthode utilisés par l’expert pour parvenir à ses conclusions, ou encore lorsqu’elle n’est pas compréhensible au moins dans ses grandes lignes pour les profanes (Jositsch/Schmid, Schweizerische Strafprozessordnung, Praxiskommentar, 4e éd. 2023, n. 3 ad Art. 189 StPO ; Vuille, op. cit., n. 12 ad art. 189 CPP ; CREP 28 février 2018/162). Il y a divergence entre plusieurs expertises, au sens de l’art. 189 let. b CPP, en cas de pluralité d’expertises judiciaires. D’après la doctrine et la jurisprudence, cette disposition s’applique également en cas de divergence entre une expertise judiciaire et une expertise privée (TF 6B_590/2013 du 22 octobre 2014 consid. 1.1 ; Jositsch/Schmid, op. cit., n.</w:t>
      </w:r>
    </w:p>
    <w:p>
      <w:r>
        <w:rPr>
          <w:b/>
        </w:rPr>
        <w:t>E. 2.3.2</w:t>
      </w:r>
    </w:p>
    <w:p>
      <w:r>
        <w:t>De jurisprudence constante, l’expertise privée n’a pas la même valeur probante qu’une expertise judiciaire, l’expert mandaté par une partie n’étant pas indépendant ni impartial ; ainsi, l’expertise privée réalisée sur un mandat du plaignant ou du prévenu est soumise au principe de la libre appréciation des preuves, et elle est considérée comme une simple allégation de partie (ATF 142 II 355 consid. 6 ; ATF 141 IV 369 consid. 6.2 ; TF 6B_749/2022 du 12 mai 2023 consid. 1.4.3 et les réf. citées). 3. 3.1 En l’espèce, la force probante de l’expertise judiciaire ne saurait être remise en question sur la base de l’appréciation de la graphologue [...]. Cette graphologue a en effet été mandatée par le plaignant et rémunérée par lui, avec les incidences que cela est susceptible de comporter sur son indépendance et la force probante de son appréciation. Selon la jurisprudence précitée (cf. consid. 2.3.2), les résultats de l’expertise privée [...] doivent être considérés comme de simples allégués de partie. En outre, les qualifications scientifiques de l’experte privée sont moindres que celles de l’expert judiciaire mandaté, qui officie dans une institution académique. Enfin, la graphologue a fondé son avis non sur l’original du titre argué de faux, mais sur une photocopie. Or, outre les éléments de convergence/divergence générales et graphiques de la signature contestée (cf. P. 34, pp. 8 ss.) avec ceux de référence, le document litigieux a fait l’objet par l’expert d’une recherche de foulages latents ainsi que d’une recherche de trait sous-jacent, ou de sillon, ou encore de trace d’altération du papier, qui aurait été le signe</w:t>
      </w:r>
    </w:p>
    <w:p>
      <w:r>
        <w:t>- 9 - d’une imitation indirecte de la signature du recourant (cf. P. 34, p. 7). Or, la graphologue n’a évidemment pas pu procéder à cette recherche sur la base de la copie dont elle disposait, seul l’original du document permettant des investigations aussi poussées. Au vu de ce qui précède, c’est à juste titre que le Ministère public a considéré qu’il n’y avait pas lieu de mettre en œuvre une nouvelle expertise judiciaire. L’art. 189 let. b et c CPP n’a pas été violé, en ce sens que s’il est vrai qu’il existe une divergence entre les conclusions de l’expertise judiciaire et celles de l’expertise privée produite par le recourant, cette dernière n’est pas propre à faire naître un doute sur le caractère probant et sur l’exactitude de l’expertise judiciaire, pour l’ensemble des motifs précités. 3.2 Parmi les autres éléments que le Procureur aurait dû prendre en compte selon le recourant pour envisager que les probabilités retenues par l’expert puissent être différentes – et justifier le cas échéant une nouvelle expertise ou un complément d’expertise – figurent, d’une part, le courriel du 6 mars 2020 au conseil adverse, par lequel N.________ aurait affirmé que le recourant n’aurait jamais signé d’autre contrat que l’accord initial du 8 janvier 2018 et, d’autre part, le courrier adressé le 31 janvier 2020 par N.________ au recourant, qui se référait encore au contrat du 8 janvier 2018 et ne mentionnait pas le second contrat. Or, à cet égard également, la motivation de l’ordonnance attaquée est convaincante. Il découle en effet de l’audition de N.________ du 2 février 2022 que celui-ci a d’emblée fait état d’un « premier » mandat, du 8 janvier 2018, puis de la signature d’un autre document, en raison de la nécessité d’une procuration pour accomplir certains actes, lors d’un entretien du 6 juin 2018 avec le recourant, à son bureau (PV aud. 1, p. 2). Toujours selon N.________, cette procuration a notamment été adressée peu de temps après à la [...] pour légitimer l’intervention du fiduciaire (PV aud. 1, p. 3). Devant l’accroissement des tâches qui lui</w:t>
      </w:r>
    </w:p>
    <w:p>
      <w:r>
        <w:t>- 10 - étaient demandées par le plaignant dans le cadre du mandat fiduciaire, N.________ avait négocié, le 14 janvier 2019, un nouveau tarif forfaitaire mensuel, plus élevé. Il a précisé que l’accord avait été oral et que « rien n’avait été signé » (PV aud. 1, p. 3, 3e §). La [...] avait été priée le 5 février 2019 par N.________ d’adapter le montant du virement mensuel permanent en conséquence, l’aval du plaignant pour signer les ordres correspondant étant réservé (PV aud. 1, p. 4). Comme les ordres permanents n’avaient pas été modifiés en mai suivant, la banque avait été relancée, puis avait répondu que les ordres avaient été soumis au plaignant, lequel avait toutefois refusé de les signer et souhaitait faire le point avec son fiduciaire. Le mandat s’est néanmoins poursuivi jusqu’à la fin de l’année 2019, sans qu’une discussion n’ait lieu entre le plaignant et N.________. En janvier 2020, le fiduciaire avait fini par réclamer au plaignant le solde d’honoraires en souffrance, ce qui avait donné lieu à la résiliation du mandat au 3 février 2020 (PV. aud. 1, p. 4). Plus loin dans son audition, interrogé au sujet du mandat avec procuration du 4 juin 2018, N.________ a expliqué que ce contrat avait été signé par le plaignant, ainsi qu’il l’avait déjà expliqué. Pour attester de la véracité de ses dires, il a produit une capture d’écran de ses fichiers, comportant notamment l’enregistrement d’un document intitulé « Procuration de M. [...] » le 4 juin 2018 à 9 h 22. Il également versé au dossier une annexe audit document attestant des propriétés de ce fichier PDF, démontrant que le fichier avait été créé le 4 juin 2018 à 9 h 22, comme déjà indiqué, et que le dernier accès au document remontait au même jour à 9 h 31. En outre, N.________ a produit un extrait du « time-sheet » de ses opérations comprenant une ligne à la date du 4 juin 2018, pour un entretien avec le mandataire Z.________, cette opération ayant été inscrite le jour même en fin de journée et exportée ensuite le 3 juillet suivant dans le logiciel de facturation. Il a exposé sur le logiciel ad hoc qu’il avait bien enregistré un rendez-vous avec le plaignant à la date du 14 janvier 2019. N.________ a précisé que même si la somme qui était selon lui due par le plaignant était conséquente, elle ne vaudrait jamais le risque d’établir un faux, car cela pourrait conduire à la perte de son agrément comme réviseur et à sa radiation de la faîtière « Fiduciaires Suisse », ce qui impliquerait la fin de sa carrière en la matière (cf. PV aud.</w:t>
      </w:r>
    </w:p>
    <w:p>
      <w:r>
        <w:t>- 11 - 1, p. 6). Enfin, il a offert de produire l’original du document du 4 juin 2018, encore en sa possession (PV aud. 1, p. 7). N.________ a par ailleurs étayé nombre de ses allégations par des pièces figurant au dossier (P. 10 et annexes). Il s’est ainsi prévalu du fichier PDF déjà cité (P. 10/2), ainsi que de la capture d’écran de son enregistrement informatique à la date du 4 juin 2018, à 9 h 22, au jour et à l’heure déjà mentionnés (P. 10/1). En outre, il s’est réclamé d’une communication de [...] à la banque effectuée par courriel du 14 juin 2018, transmettant la procuration du 4 juin précédent en relation avec un solde d’honoraires en souffrance tenu pour dû par Z.________ (P. 10/5), message auquel la banque a répondu le lendemain en relevant avoir « (…) reçu l’accord de M. Z.________ ce matin avant de vous écrire ». La chronologie des opérations renvoie évidemment à un accord passé durant la première quinzaine de juin 2018, et non seulement en janvier précédent. Pour le reste, et comme l’expose de manière particulièrement crédible N.________ dans sa lettre du 22 juin 2022 au Procureur (P. 22/1), il serait pour le moins insolite qu’un homme d’affaires avisé, exerçant une profession notoirement fondée sur des rapports de confiance, produise un faux document à son banquier après l’avoir inséré frauduleusement dans le système informatique de son entreprise, prenant ainsi le risque de ruiner sa réputation, abstraction faite même des évidentes conséquences pénales d’un tel comportement. Il ressort ainsi des déclarations de N.________ tenues lors de son audition et rapprochées des pièces produites que l’administrateur de [...] n’a, dans un premier temps, songé au document signé le 4 juin 2018, litigieux, que comme à une procuration, non comme à un document susceptible de fonder la rémunération contractuelle objet de la procédure civile. Cette assertion est non seulement plausible, mais encore corroborée par les extraits des documents informatiques produits, dont le plaignant ne discute d’ailleurs pas la portée ni l’interprétation qui en a été donnée par le Procureur. Cela n’est pas contredit par le fait que, selon une déclaration antérieure, rien n’avait été signé à l’occasion de la négociation</w:t>
      </w:r>
    </w:p>
    <w:p>
      <w:r>
        <w:t>- 12 - d’une augmentation du tarif forfaitaire. Cette explication n’infirme pas davantage la version selon laquelle le plaignant n’aurait pas signé d’autre « contrat », dès lors qu’il s’agissait à l’évidence de la même relation contractuelle, laquelle a été formalisée d’abord sous forme de contrat écrit exigé d’ailleurs par le plaignant, puis complétée par la signature d’une procuration indispensable aux démarches du fiduciaire, alors que l’augmentation tarifaire n’a jamais été formalisée, selon les déclarations concordantes des parties (cf., à cet égard encore, la P. 22/1 produite par N.________). Il s’ensuit que, sauf à arguer que N.________, non content d’avoir créé un faux document pour attester du mandat conféré, aurait en sus manipulé l’ensemble de ses fichiers informatiques pour influer artificiellement sur la date de création de plusieurs documents – ce que le plaignant ne s’avance tout de même pas à soutenir –, il n’y a aucune raison de douter de la crédibilité de la version présentée par le directeur de [...], qui est documentée par ses outils de travail informatiques et corroborée par le résultat de l’expertise judiciaire (consid. 3.1 ci-dessus). L’ordonnance de classement est ainsi parfaitement fondée en fait et en droit, tant par les déclarations étayées de N.________ sur la façon dont les relations contractuelles se sont déroulées, qu’au vu du résultat probant de l’expertise, que rien ne justifie dès lors de remettre en cause. 3.3 Par identité de motifs, les mesures d’instruction sollicitées par le recourant, soit la mise en œuvre d’une nouvelle expertise ou d’un complément d’expertise, ne sont pas nécessaires. Partant, il y a lieu de rejeter les réquisitions portant sur cet objet.</w:t>
      </w:r>
    </w:p>
    <w:p>
      <w:r>
        <w:rPr>
          <w:b/>
        </w:rPr>
        <w:t>E. 4</w:t>
      </w:r>
    </w:p>
    <w:p>
      <w:r>
        <w:t>Au vu de ce qui précède, le recours, manifestement mal fondé, doit être rejeté sans échange d'écritures (art. 390 al. 2 CPP) et l'ordonnance entreprise confirmée. Les frais de la procédure de recours, constitués en l'espèce de l'émolument d'arrêt, par 1’320 fr. (art. 20 al. 1 TFIP [tarif des frais de procédure et indemnités en matière pénale du 28 septembre 2010 ; BLV</w:t>
      </w:r>
    </w:p>
    <w:p>
      <w:r>
        <w:t>- 13 - 312.03.1]), seront mis à la charge du recourant, qui succombe (art. 428 al. 1 CPP). Par ces motifs, la Chambre des recours pénale prononce : I. Le recours est rejeté. II. L’ordonnance du 26 janvier 2023 est confirmée.</w:t>
      </w:r>
    </w:p>
    <w:p>
      <w:r>
        <w:t>- 14 - III. Les frais d’arrêt, par 1’320 fr. (mille trois cent vingt francs), sont mis à la charge de Z.________. IV. L’arrêt est exécutoire. La présidente : Le greffier : Du Le présent arrêt, dont la rédaction a été approuvée à huis clos, est notifié, par l'envoi d'une copie complète, à : - Me Véronique Fontana, avocate (pour Z.________),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