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PE21.019305 vom 18. März 2024</w:t>
      </w:r>
    </w:p>
    <w:p>
      <w:r>
        <w:t>VD Tribunal cantonal, 2024-03-18, FR</w:t>
      </w:r>
    </w:p>
    <w:p>
      <w:r>
        <w:rPr>
          <w:b/>
        </w:rPr>
        <w:t xml:space="preserve">Quelle: </w:t>
      </w:r>
      <w:r>
        <w:t>https://mcp.opencaselaw.ch/entscheid/vd_gerichte_PE21.019305</w:t>
      </w:r>
    </w:p>
    <w:p>
      <w:r>
        <w:t>FR: VD_GERICHTE PE21.019305 du 18 mars 2024</w:t>
      </w:r>
    </w:p>
    <w:p>
      <w:r>
        <w:t>IT: VD_GERICHTE PE21.019305 del 18 marzo 2024</w:t>
      </w:r>
    </w:p>
    <w:p>
      <w:pPr>
        <w:pStyle w:val="Heading2"/>
      </w:pPr>
      <w:r>
        <w:t>Erwägungen</w:t>
      </w:r>
    </w:p>
    <w:p>
      <w:r>
        <w:rPr>
          <w:b/>
        </w:rPr>
        <w:t>E. 4.1</w:t>
      </w:r>
    </w:p>
    <w:p>
      <w:r>
        <w:t>La plaignante conteste tout d’abord la qualification de lésions corporelles simples au lieu de la qualification de lésions corporelles graves.</w:t>
      </w:r>
    </w:p>
    <w:p>
      <w:r>
        <w:rPr>
          <w:b/>
        </w:rPr>
        <w:t>E. 4.2</w:t>
      </w:r>
    </w:p>
    <w:p>
      <w:r>
        <w:t>D'après l'art. 122 CP, commet une lésion corporelle grave et est puni d'une peine privative de liberté de dix ans au plus ou d'une peine pécuniaire de 180 jours-amende au moins quiconque, intentionnellement : blesse une personne de façon à mettre sa vie en danger (al. 1) ; mutile le corps d'une personne, un de ses membres ou un de ses organes importants ou cause à une personne une incapacité de travail, une infirmité ou une maladie mentale permanentes, ou défigure une personne d'une façon grave et permanente (al. 2) ; fait subir à une personne toute</w:t>
      </w:r>
    </w:p>
    <w:p>
      <w:r>
        <w:t>- 25 - autre atteinte grave à l'intégrité corporelle ou à la santé physique ou mentale (al. 3).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6B_422/2019 du 5 juin 2019 consid. 5.1 ;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Sur le plan subjectif, l'art. 122 CP définit une infraction de nature intentionnelle. Le dol éventuel suffit (TF 6B_388/2012 du 12 novembre 2012 consid. 2.2.1). L'intention de l'auteur doit en l'occurrence porter sur la gravité des lésions subies par la victime. Si l'intention de l'auteur ne porte que sur des lésions corporelles simples, mais que celui-ci</w:t>
      </w:r>
    </w:p>
    <w:p>
      <w:r>
        <w:t>- 26 - cause néanmoins des lésions corporelles graves, ce dernier réalise les infractions de lésions corporelles simples intentionnelles (art. 123 CP) et graves par négligence (art. 125 al. 2 CP) en concours idéal parfait (ATF 134 IV 26 consid. 4).</w:t>
      </w:r>
    </w:p>
    <w:p>
      <w:r>
        <w:rPr>
          <w:b/>
        </w:rPr>
        <w:t>E. 4.3.1</w:t>
      </w:r>
    </w:p>
    <w:p>
      <w:r>
        <w:t>Le premier juge a considéré que la victime avait « certes subi une incapacité de travail durant plusieurs semaines » mais qu’elle avait pu « reprendre ses activités professionnelles » et que si la perte de l’annulaire était « toujours douloureuse et inesthétique », elle pouvait mener une existence normale, car cela ne l’empêchait ni d’écrire, ni d’effectuer toutes les tâches du quotidien. Cette appréciation ne saurait être suivie. Selon les diverses pièces au dossier (P. 20 ; P. 21/7 ; P. 49/2 à P. 49/5 ; P. 80/2 ; P. 82 à P. 84 ; P. 118/1), la plaignante a subi une amputation partielle d’une phalange ; son ongle et son os ont été sectionnés (« fracture ouverte », P. 49/2) par la morsure. Elle a qualifié la douleur ressentie d’atroce, ce qu’on peut aisément imaginer. L’évolution post-traumatique a été défavorable et une longue réadaptation a été nécessaire. Elle exerce le métier d’aide- comptable et la main atteinte est sa main dominante. Aux débats d’appel, la plaignante a expliqué qu’en raison d’une mauvaise cicatrisation de ses nerfs, elle avait développé des névromes dans son doigt, occasionnant une hypersensibilité et des décharges électriques. Elle a dit devoir se faire opérer à ce sujet, sans garantie à long terme. La perte d’une partie de sa phalangette est permanente. Sur le plan psychique, le traumatisme a « changé ses relations sociales et son histoire de vie de manière radicale », impliquant le risque de troubles à long terme, notamment en ce qui concerne une « modification durable de la personnalité qui aurait un lien direct avec l’expérience stressante de l’agression et ses séquelles » (P. 49/4). Elle a été en incapacité de travail jusqu’au 1er septembre 2022 (P. 80/2), soit durant 10 mois. Le 18 juin 2024, le Dr [...], psychiatre, attestait qu’en raison de sa blessure, elle n’avait toujours pas retrouvé une productivité lui permettant d’exercer une activité professionnelle à temps complet et qu’elle peinait à retrouver son état psychique précédant</w:t>
      </w:r>
    </w:p>
    <w:p>
      <w:r>
        <w:t>- 27 - l’agression (P. 118). Aux débats d’appel, la plaignante a précisé n’avoir toujours pas retrouvé son taux d’activité précédant l’agression. Elle souffre aussi psychologiquement de l’atteinte esthétique. Au vu de l’ensemble de ces éléments, la lésion doit être qualifiée de grave.</w:t>
      </w:r>
    </w:p>
    <w:p>
      <w:r>
        <w:rPr>
          <w:b/>
        </w:rPr>
        <w:t>E. 4.3.2</w:t>
      </w:r>
    </w:p>
    <w:p>
      <w:r>
        <w:t>Y.________ conteste avoir eu l’intention de commettre une lésion corporelle grave. Or, en mordant le doigt de sa rivale avec une telle force qu’elle lui a sectionné la phalangette, la prévenue devait s’attendre à ce qu’elle cause une lésion corporelle grave. Partant, l’élément subjectif de l’infraction de lésion corporelle grave est également rempli. Il y a dès lors lieu de condamner Y.________ sur la base de cette infraction.</w:t>
      </w:r>
    </w:p>
    <w:p>
      <w:r>
        <w:rPr>
          <w:b/>
        </w:rPr>
        <w:t>E. 5.1</w:t>
      </w:r>
    </w:p>
    <w:p>
      <w:r>
        <w:t>La plaignante conteste l’abandon de l’accusation de diffamation.</w:t>
      </w:r>
    </w:p>
    <w:p>
      <w:r>
        <w:rPr>
          <w:b/>
        </w:rPr>
        <w:t>E. 5.2</w:t>
      </w:r>
    </w:p>
    <w:p>
      <w:r>
        <w:t>; ATF 137 IV 57 consid. 4.3.1). La peine privative de liberté et la peine pécuniaire ne sont pas des sanctions du même genre (ATF 144 IV 313 consid. 1.1 ; ATF 144 IV 217 consid. 2.2). Selon l’art. 42 al. 4 CP,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w:t>
      </w:r>
    </w:p>
    <w:p>
      <w:r>
        <w:t>- 34 -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ainsi un « sursis qualitativement partiel » (ATF 134 IV I consid. 4.5.2). Sauf disposition contraire de la loi, le montant maximum de l’amende est de 10'000 fr. (at. 106 al. 1 CP).</w:t>
      </w:r>
    </w:p>
    <w:p>
      <w:r>
        <w:rPr>
          <w:b/>
        </w:rPr>
        <w:t>E. 5.3</w:t>
      </w:r>
    </w:p>
    <w:p>
      <w:r>
        <w:t>La prévenue admet avoir envoyé les messages litigieux. Elle l’aurait fait parce qu’elle n’avait « personne qui prenait son parti » et qu’elle avait besoin de parler à quelqu’un de neutre. Le Tribunal de police a considéré que les termes utilisés n’étaient pas attentatoires à l’honneur, même si la prévenue « ternit la réputation que la plaignante a auprès de son ex-mari, soit le père de ses enfants », parce qu’elle n’avait fait que « décrire ce qu’elle a[vait], selon sa propre perception, constaté » (jugement querellé, p. 21). Là encore, cette motivation n’est pas convaincante. Primo, on ne voit pas pour quelle raison la prévenue a écrit à l’ex-mari de sa victime, qu’elle ne connaissait pas, comme en attestent ses premiers messages dans lesquels elle se présente. Si elle cherchait un allié, elle aurait pu s’adresser à un ami, voire à un thérapeute pour avoir un regard neutre. Le simple fait qu’elle écrive à l’ex-conjoint de sa rivale, père des deux premiers enfants de celle-ci, est révélateur en soi d’une volonté de nuire. Ensuite, les termes utilisés pour décrire la plaignante font apparaître cette dernière comme un parent négligent, voire maltraitant. Ainsi, Y.________ a écrit que X.________ et Q.________ étaient « complètement fous ». Elle a parlé d’une « histoire de bagarre » qui « a été très loin », ajoutant qu’« un couple qui s’embrouille toujours comme ça devant les enfants c’est pas bon! » et qu’elle n’imaginait « même pas […] au nombre de disputes qu’il puisse avoir dans ce foyer ! (sic) ». Enfin, elle s’est plainte du fait qu’ils n’auraient pas changé la couche de son fils de 3 mois pendant toute une journée et ne lui auraient pas mis sa veste, l’enfant ayant ensuite été malade pendant deux semaines. L’ensemble de ces éléments sous- entendent que la plaignante met en danger ses propres enfants et ceux des autres et la font apparaître comme égoïste et méprisable. La prévenue n’avait pas de motifs suffisants pour proférer ces propos et a agi principalement avec une intention chicanière. Partant, elle doit être condamnée pour diffamation.</w:t>
      </w:r>
    </w:p>
    <w:p>
      <w:r>
        <w:rPr>
          <w:b/>
        </w:rPr>
        <w:t>E. 6.1</w:t>
      </w:r>
    </w:p>
    <w:p>
      <w:r>
        <w:t>X.________ conteste le sort de ses prétentions civiles. Elle réclame une réparation morale plus élevée et des dommages-intérêts.</w:t>
      </w:r>
    </w:p>
    <w:p>
      <w:r>
        <w:t>- 31 -</w:t>
      </w:r>
    </w:p>
    <w:p>
      <w:r>
        <w:rPr>
          <w:b/>
        </w:rPr>
        <w:t>E. 6.2</w:t>
      </w:r>
    </w:p>
    <w:p>
      <w:r>
        <w:t>L’art. 126 CPP prévoit que le tribunal statue sur les conclusions civiles présentées lorsqu'il rend un verdict de culpabilité à l'encontre du prévenu (al. 1 let. a) ou lorsqu'il acquitte le prévenu et que l'état de fait est suffisamment établi (al. 1 let. b). Il renvoie en revanche la partie plaignante à agir par la voie civile notamment lorsque celle-ci n'a pas chiffré ses conclusions de manière suffisamment précise ou ne les a pas suffisamment motivées (al. 2 let. b CPP) ou lorsque le prévenu est acquitté alors que l'état de fait n'a pas été suffisamment établi (al. 2 let. d CPP). Dans le cas où le jugement complet des conclusions civiles exigerait un travail disproportionné, le tribunal peut traiter celles-ci seulement dans leur principe et, pour le surplus, renvoyer la partie plaignante à agir par la voie civile (al. 3).</w:t>
      </w:r>
    </w:p>
    <w:p>
      <w:r>
        <w:rPr>
          <w:b/>
        </w:rPr>
        <w:t>E. 6.3.1</w:t>
      </w:r>
    </w:p>
    <w:p>
      <w:r>
        <w:t>En ce qui concerne la réparation morale, le jugement mentionne brièvement, comme critères d’appréciation, la douleur « tant physique que psychique » et les certificats médicaux produits. Selon le Guide relatif à la fixation du montant de la réparation morale selon la loi sur l’aide aux victimes de l’OFJ du 3 octobre 2019 (https://www.newsd.admin.ch/newsd/message/attachments/76987.pdf), les atteintes corporelles avec séquelles durables, telles que la perte d’un doigt, justifient l’allocation d’un montant entre 10'000 et 20'000 francs. Dans le cas présent, seule une partie de la phalangette a été sectionnée. La perte est néanmoins permanente – soit au-delà de durable – et, comme vu ci-avant, l’atteinte a eu des conséquences très importantes sur la vie de la victime, qui a été traumatisée et empêchée d’exercer correctement son métier, et la fait toujours souffrir en raison de sa mauvaise cicatrisation. Il convient d’ajouter qu’à la perte physique viennent s’ajouter les coups reçus ainsi que les menaces subies. Tout bien pesé, l’indemnité doit dès lors être fixée à 15'000 francs. Elle porte intérêts à 5 % l’an dès le</w:t>
      </w:r>
    </w:p>
    <w:p>
      <w:r>
        <w:rPr>
          <w:b/>
        </w:rPr>
        <w:t>E. 6.3.2</w:t>
      </w:r>
    </w:p>
    <w:p>
      <w:r>
        <w:t>Par ailleurs, la plaignante réclame des dommages-intérêts, à savoir 330 fr. pour des lunettes cassées et 760 fr. pour un bracelet arraché et perdu lors de l’agression. Le premier juge a refusé d’allouer ces montants parce que les objets en question « ne ressorta[ie]nt pas de l’acte d’accusation ». Ces prétentions ont été formulées la première fois par courrier du 27 janvier 2022 (P. 20/1). Aucune plainte n’a été déposée pour dommages à la propriété. Des pièces justificatives ont été produites le 13 février 2024 (P. 89/1). Aucun des protagonistes présents n’a vu ou mentionné quoi que ce soit au sujet de ces objets. Si on veut bien croire que la plaignante peut avoir oublié ces détails sous le coup de l’émotion et de sa blessure, il n’en demeure pas moins que le doute à cet égard doit profiter à l’accusé (cf. supra consid. 3.2). Ces prétentions ne peuvent donc pas être allouées. Sur ce point, le jugement querellé doit être confirmé.</w:t>
      </w:r>
    </w:p>
    <w:p>
      <w:r>
        <w:rPr>
          <w:b/>
        </w:rPr>
        <w:t>E. 7</w:t>
      </w:r>
    </w:p>
    <w:p>
      <w:r>
        <w:t>novembre 2021, soit la date de l’événement dommageable.</w:t>
      </w:r>
    </w:p>
    <w:p>
      <w:r>
        <w:t>- 32 -</w:t>
      </w:r>
    </w:p>
    <w:p>
      <w:r>
        <w:rPr>
          <w:b/>
        </w:rPr>
        <w:t>E. 7.1</w:t>
      </w:r>
    </w:p>
    <w:p>
      <w:r>
        <w:t>Au vu de ce qui précède, la peine doit être revue d’office.</w:t>
      </w:r>
    </w:p>
    <w:p>
      <w:r>
        <w:rPr>
          <w:b/>
        </w:rPr>
        <w:t>E. 7.2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- 33 -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w:t>
      </w:r>
    </w:p>
    <w:p>
      <w:r>
        <w:rPr>
          <w:b/>
        </w:rPr>
        <w:t>E. 7.3</w:t>
      </w:r>
    </w:p>
    <w:p>
      <w:r>
        <w:t>Les lésions corporelles graves étaient passibles, selon l’art. 122 CP dans sa teneur au moment des faits, d’une peine privative de liberté de six mois à dix ans. Il y a par ailleurs un concours d’infractions avec les menaces et le vol, commis à la même occasion, et une diffamation commise peu après, dans le cadre du même litige. Cette dernière infraction n’est passible, elle, que d’une peine pécuniaire. Le tribunal de police a considéré que la culpabilité de la prévenue était importante, qu’elle s’en était prise à l’intégrité corporelle de la plaignante, que son comportement en procédure était également un élément à charge car elle n’avait eu aucun scrupule à nier l’évidence et à se victimiser, rejetant la faute sur sa victime. Elle n’avait pas pris conscience de ses actes ni présenté des excuses ou regrets. Il n’y avait aucun élément à décharge. Le tribunal a estimé que les lésions corporelles valaient 120 jours-amende, à aggraver de 15 jours pour les menaces et de 15 jours pour le vol. La prévenue a fait preuve de sauvagerie et de cruauté. Le fait qu’elle soit parvenue à casser l’os du doigt de sa rivale en le mordant atteste de la détermination dont elle a fait preuve dans son acte. Elle a non seulement mutilé la plaignante en la mordant, mais lui a aussi donné des coups de poing dans le ventre alors que celle-ci avait espéré obtenir sa pitié en lui faisant part de sa grossesse. A cela s’ajoutent les menaces de mort proférées ainsi que la diffamation subséquente. La prévenue n’a pas fait preuve de la moindre compassion ou prise de conscience. Le</w:t>
      </w:r>
    </w:p>
    <w:p>
      <w:r>
        <w:t>- 35 - casier judiciaire vierge ne constitue au demeurant pas un élément à décharge. Les lésions corporelles graves valent à elles seules 10 mois de peine privative de liberté. Cette peine doit être aggravée d’un mois pour les menaces et le vol, motivé non pas par l’avidité mais par le conflit. La diffamation sera quant a elle réprimée par une peine pécuniaire de 30 jour-amende à 30 fr. le jour, montant retenu en première instance qui n’a pas été contesté par la prévenue. Vu l’absence d’antécédents et malgré l’état d’esprit de la prévenue, le sursis lui sera accordé. Son absence de prise de conscience commande toutefois le prononcé d’une sanction immédiate. A cet égard, l’amende fixée par la première instance, soit 900 fr., est adéquate.</w:t>
      </w:r>
    </w:p>
    <w:p>
      <w:r>
        <w:rPr>
          <w:b/>
        </w:rPr>
        <w:t>E. 8.1</w:t>
      </w:r>
    </w:p>
    <w:p>
      <w:r>
        <w:t>Y.________ étant notamment condamnée pour lésions corporelles graves, sa situation constitue un cas d’expulsion obligatoire (art. 66a al. 1 let. b CP).</w:t>
      </w:r>
    </w:p>
    <w:p>
      <w:r>
        <w:rPr>
          <w:b/>
        </w:rPr>
        <w:t>E. 8.2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w:t>
      </w:r>
    </w:p>
    <w:p>
      <w:r>
        <w:t>- 36 -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6B_1174/2021 du 21 juin 2022 consid. 3.2 ; TF 6B_990/2020 du 26 novembre 2021 consid. 3.2.1).</w:t>
      </w:r>
    </w:p>
    <w:p>
      <w:r>
        <w:rPr>
          <w:b/>
        </w:rPr>
        <w:t>E. 8.3</w:t>
      </w:r>
    </w:p>
    <w:p>
      <w:r>
        <w:t>La prévenue, ressortissante du Cameroun, est arrivée en Suisse à ses 9 ans et y a vécu toute sa vie. Elle est titulaire d’un permis B. Elle est professionnellement active – elle travaille actuellement à un taux de 80% – et élève, seule, ses deux enfants de 3 et 5 ans. Le seul membre de sa famille qui demeure au Cameroun est son grand-père. Sa mère et ses sœurs, avec lesquelles elle entretient des contacts réguliers, vivent à proximité d’elle. Compte tenu des années passées en Suisse et de la présence de ses deux enfants et de sa famille dans ce pays, l’appelante a un intérêt privé à demeurer en Suisse. On renoncera à prononcer son expulsion, la prévenue pouvant se prévaloir d’un cas de rigueur.</w:t>
      </w:r>
    </w:p>
    <w:p>
      <w:r>
        <w:rPr>
          <w:b/>
        </w:rPr>
        <w:t>E. 9</w:t>
      </w:r>
    </w:p>
    <w:p>
      <w:r>
        <w:t>Le sort des frais de première instance ne change pas, dès lors qu’ils ont déjà été intégralement mis à la charge de la prévenue.</w:t>
      </w:r>
    </w:p>
    <w:p>
      <w:r>
        <w:rPr>
          <w:b/>
        </w:rPr>
        <w:t>E. 10</w:t>
      </w:r>
    </w:p>
    <w:p>
      <w:r>
        <w:t>En définitive, l’appel d’Y.________ doit être rejeté. L’appel de X.________ doit être partiellement admis et le jugement querellé réformé dans le sens des considérants qui précèdent.</w:t>
      </w:r>
    </w:p>
    <w:p>
      <w:r>
        <w:t>- 37 - La liste des opérations produite par Me Jonathan Rutschmann pour la procédure d’appel, indiquant 17h18 d’activité, au tarif horaire de 180 fr., est admise (P. 120/1). Il convient d’y ajouter 1h38 pour la durée de l’audience. Le défraiement s’élève ainsi à 3'408 fr., auquel il faut ajouter 2 % pour les débours (art. 19 al. 2 TDC par renvoi de l’art. 26a al. 6 TFIP), soit 68 fr. 15, une vacation à 120 fr. et 8,1 % de TVA sur le tout, soit 291 fr. 30, de sorte que l’indemnité se monte au total à 3'887 fr. 45. La liste des opérations produite par Me Patrice Keller pour la procédure d’appel, indiquant 16.10 heures d’activité au tarif horaire de 180 fr., est admise (P. 119), si ce n’est qu’il convient de déduire 22 minutes de la durée surévaluée de l’audience. Le défraiement s’élève ainsi à 2'832 fr., auquel il faut ajouter 2 % (et non 5 %) pour les débours (art. 19 al. 2 TDC, applicable par renvoi de l’art. 26a al. 6 TFIP), soit 56 fr. 65, deux vacations à 120 fr. et 8,1 % de TVA sur le tout, soit 253 fr. 40, de sorte que l’indemnité se monte au total à 3’382 fr. 05. Les frais d’appel de la présente procédure, par 10’860 fr. 30, constitués de l’émolument de jugement et d’audience, par 3'260 fr. (art. 21 al. 1 TFIP), de l’indemnité allouée à Me Parein par prononcé du 17 mai 2024, par 330 fr. 80 et des indemnités allouées aux avocats d'office, par 7'269 fr. 50, seront mis à la charge d’Y.________, qui succombe (art. 428 al. 1 CPP). Le seul rejet des prétentions en dommages-intérêts de la plaignante ne justifie pas une répartition différente. Y.________ sera tenue de rembourser à l’Etat le montant des indemnités allouées aux avocats d'office dès que sa situation financière le permettra. Il est constaté une erreur de calcul manifeste des indemnités des avocats d’office aux chiffres IV et V du dispositif notifié aux parties le 1er novembre 2024, une seconde vacation ayant été attribuée à Me Rutschmann en lieu et place de Me Keller. Elle sera corrigée d’office.</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