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PE21.018446 vom 25. Oktober 2022</w:t>
      </w:r>
    </w:p>
    <w:p>
      <w:r>
        <w:t>VD Tribunal cantonal, 2022-10-25, FR</w:t>
      </w:r>
    </w:p>
    <w:p>
      <w:r>
        <w:rPr>
          <w:b/>
        </w:rPr>
        <w:t xml:space="preserve">Quelle: </w:t>
      </w:r>
      <w:r>
        <w:t>https://mcp.opencaselaw.ch/entscheid/vd_gerichte_PE21.018446</w:t>
      </w:r>
    </w:p>
    <w:p>
      <w:r>
        <w:t>FR: VD_GERICHTE PE21.018446 du 25 octobre 2022</w:t>
      </w:r>
    </w:p>
    <w:p>
      <w:r>
        <w:t>IT: VD_GERICHTE PE21.018446 del 25 ottobre 2022</w:t>
      </w:r>
    </w:p>
    <w:p>
      <w:pPr>
        <w:pStyle w:val="Heading2"/>
      </w:pPr>
      <w:r>
        <w:t>Erwägungen</w:t>
      </w:r>
    </w:p>
    <w:p>
      <w:r>
        <w:rPr>
          <w:b/>
        </w:rPr>
        <w:t>E. 6</w:t>
      </w:r>
    </w:p>
    <w:p>
      <w:r>
        <w:t>L’appelant conteste son expulsion du territoire suisse pour une durée de 15 ans, invoquant les garanties constitutionnelles et conventionnelles, ainsi que le principe de non refoulement. Selon lui, les premiers juges auraient omis, dans le cadre de l’examen de la clause de rigueur, de tenir compte du statut de réfugié qu’il avait obtenu avant l’obtention de son permis C et du fait qu’il aurait été emprisonné et torturé en Turquie, ainsi que des risques qu’il soit à nouveau exposé à de tels traitements, ce qui rendrait impossible son expulsion. Il se prévaut encore d’une relation étroite avec ses enfants et donc de son droit à la protection de la vie privée et familiale.</w:t>
      </w:r>
    </w:p>
    <w:p>
      <w:r>
        <w:rPr>
          <w:b/>
        </w:rPr>
        <w:t>E. 6.1.1</w:t>
      </w:r>
    </w:p>
    <w:p>
      <w:r>
        <w:t>Aux termes de l'art. 66a al. 1 let. a CP, le juge expulse de Suisse l'étranger qui est condamné notamment pour meurtre (art. 111), quelle que soit la quotité de la peine prononcée à son encontre, pour une durée de 5 à 15 ans. Cette disposition s'applique également en cas de tentative (ATF 146 IV 105 consid. 3.4.1; ATF 144 IV 168 consid. 1.4).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6.1.2</w:t>
      </w:r>
    </w:p>
    <w:p>
      <w:r>
        <w:t>La clause de rigueur permet de garantir le principe de proportionnalité (art. 5 al. 2 Cst. [Constitution fédérale de la Confédération suisse du 18 avril 1999 ; RS 101]). Elle doit être appliquée de manière restrictive (ATF 146 IV 105 consid. 3.4.2 ; ATF 144 IV 332 consid. 3.3.1 ; TF</w:t>
      </w:r>
    </w:p>
    <w:p>
      <w:r>
        <w:t>- 28 - 6B_690/2019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w:t>
      </w:r>
    </w:p>
    <w:p>
      <w:r>
        <w:t>- 29 -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w:t>
      </w:r>
    </w:p>
    <w:p>
      <w:r>
        <w:rPr>
          <w:b/>
        </w:rPr>
        <w:t>E. 6.1.3</w:t>
      </w:r>
    </w:p>
    <w:p>
      <w:r>
        <w:t>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w:t>
      </w:r>
    </w:p>
    <w:p>
      <w:r>
        <w:t>- 30 -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w:t>
      </w:r>
    </w:p>
    <w:p>
      <w:r>
        <w:t>- 31 -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w:t>
      </w:r>
    </w:p>
    <w:p>
      <w:r>
        <w:rPr>
          <w:b/>
        </w:rPr>
        <w:t>E. 6.1.4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5 al. 1 loi sur l'asile [LAsi; RS 142.31] ; art. 33 de la Convention du 28 juillet 1951 relative au statut des réfugiés [RS 0.142.30] ; art. 3 de la Convention du</w:t>
      </w:r>
    </w:p>
    <w:p>
      <w:r>
        <w:rPr>
          <w:b/>
        </w:rPr>
        <w:t>E. 6.2</w:t>
      </w:r>
    </w:p>
    <w:p>
      <w:r>
        <w:t>En l’espèce, l’appelant conteste la mesure d’expulsion sur la base de son acquittement de l’infraction de tentative de meurtre, qu’il n’obtient pas, et qui fonde donc un cas d’expulsion obligatoire au sens de</w:t>
      </w:r>
    </w:p>
    <w:p>
      <w:r>
        <w:t>- 35 - l’art. 66a al. 1 let. a CP. Reste à examiner si son expulsion tombe sous le coup de la clause de rigueur et est conforme aux normes de droit international. En l’occurrence, l’intéressé a commis un crime particulièrement grave, qui vient s’ajouter à de nombreux antécédents – 7 condamnations pénales entre 2013 et 2019 –, dont certains ne sont pas anodins (escroquerie et faux dans les titres notamment), qui démontrent qu’il est ancré dans la délinquance. L'absence de scrupules dont il a fait preuve en agissant en pleine rue, dans un quartier d'habitation très densifié, en s’en prenant à sa victime qui était entièrement à sa merci, avec préméditation et pour un motif égoïste, démontre qu'il s'agit d'un individu particulièrement dangereux pour la communauté, son statut de réfugié n'empêchant ainsi pas son refoulement en pareille circonstance pour ce motif déjà (art. 5 al. 2 LAsi). Le danger qu’il représente est du reste d’autant plus important qu’il a menti, respectivement refuse de s’exprimer au sujet de la provenance de l’arme. Avec les premiers juges, il faut retenir que le comportement de l'appelant s'inscrit dans le cadre d'une activité liée à l'organisation de paris clandestins, ce qui signifie qu'il évolue dans le milieu du crime organisé. D’ailleurs, le fait qu'il ait été arrêté en possession de plusieurs milliers de francs suisses et euros – alors qu’il émarge à l’aide sociale – conforte la pertinence de cette appréciation. Pour expliquer la possession de cet argent, l'appelant fait valoir qu'il aurait bénéficié d'un prêt de 15'000 fr. qu'il devait rembourser. Le contrat de prêt retrouvé à son domicile date toutefois de 2010 et n'explique pas comment il a pu se retrouver une dizaine d'années plus tard avec les sommes en question. Les déclarations de la victime sont de leur côté précises et cohérentes à cet égard. Elles permettent de comprendre de manière logique la situation, en particulier les motivations qui ont poussé l'appelant – qui les admet désormais à demi mot (cf. supra p. 3) – à commettre les actes qui lui sont reprochés, savoir la vengeance, ce qui conforte le constat de dangerosité susmentionné. Cela étant, l’appelant ne travaille pas et, en marge de l’activité illégale précitée, dépend intégralement des services sociaux pour se loger et se nourrir. C’est dire que son intégration</w:t>
      </w:r>
    </w:p>
    <w:p>
      <w:r>
        <w:t>- 36 - en Suisse particulièrement mauvaise, celui-ci ayant au demeurant encore largement besoin d'un interprète pour s'exprimer. Il a des dettes et vit séparé de son épouse depuis 2018 (PV aud. 6, R. 7, p. 3) ; il ne verse rien pour ses enfants (jugt. p. 5). Enfin, il présente une intolérance à la frustration ainsi qu’un risque de récidive d'actes de même nature selon l'expertise psychiatrique, même si ce risque a été évalué comme étant de niveau modéré (P. 69, p. 13). L’intérêt public à son expulsion du territoire suisse est donc très important. L'appelant est Turque, pays dans lequel il a vécu jusqu'à l'âge de 25 ans et dont il maîtrise la langue. Il est issu de la communauté kurde. Pratiquement toute sa famille réside dans ce pays, dont six frères et sœurs avec qui il conserve des contacts (P. 69, p. 4). Il s'est marié en Turquie en 2006 et y a vécu avec son épouse durant environ un an avant de venir en Suisse où elle l'a rejoint après 2 ans ou 2 ans et demi (PV aud. 6, R. 7, p. 3). L’appelant a certes eu deux enfants nés en 2010 et 2014, qui vivent en Suisse et avec lesquels il semble avoir de bonnes relations. Cela étant, ceux-ci résident avec leur mère, dont il est séparé depuis plusieurs années, et qui en a la garde exclusive. La seule existence de ces liens est donc insuffisante au regard de la jurisprudence précitée pour exclure une mesure d’expulsion. En effet, faute de ménage commun et compte tenu du comportement de l’intéressé, du contexte décrit ci-avant ainsi que de tous les facteurs à prendre en compte, l’expulsion de O.________ n’est pas susceptible d’engendrer la rupture d’une communauté familiale précédemment intacte des parents et des enfants, de sorte qu’il est compatible avec l’art. 8 CEDH. On peut encore relever que les enfants seront presque majeurs lorsque l’intéressé sortira de prison. Ainsi et en définitive, même si l’appelant dispose d’un intérêt privé à demeurer en Suisse, celui-ci doit être grandement relativisé et son expulsion ne le mettrait pas dans une situation personnelle grave au regard de ce qui précède, notamment ses possibilités d’intégration dans son pays d’origine où réside une partie importante des membres de sa famille et dont il parle couramment la langue.</w:t>
      </w:r>
    </w:p>
    <w:p>
      <w:r>
        <w:t>- 37 - L’appelant a certes bénéficié d’un statut de réfugié en 2007, sur la base d’une situation en Turquie qui a évolué en 15 ans, et qui évoluera encore jusqu’à sa sortie de prison. Les éventuels obstacles à l'expulsion au sens de l'art. 66d al. 1 CP ne peuvent donc pas être pris en compte à ce stade, faute de circonstances stables et définitivement déterminables. Cela étant, il n'apparaît pas que l'appelant ait été dans le collimateur des autorités turques au moment de son départ de Turquie ; il a en effet fait l’objet d’une arrestation fin juin 2005 alors qu’il était déjà marié, et a été laissé aller libre au terme de son audition, avec les excuses du procureur (cf. P. 107, p. 15). Il résulte de ses déclarations dans le cadre de la présente cause ainsi que de celles fournies aux autorités compétentes en matière d’asile que, s’il a été incarcéré en Turquie, c’est essentiellement en raison du fait qu’il a refusé de s’engager dans l’armée – et il ne soutient pas en appel que ce motif d’incarcération, pouvant conduire à un risque éventuel de torture, serait toujours d’actualité – et non en raison de son activité politique. Toujours selon les déclarations de l’appelant, le parti politique pour lequel il était actif est un parti légal ; il n’a eu aucune activité pour le PKK, et il n’apparaît donc pas qu’il aurait occupé une fonction ou une position particulière au sein de ce parti, qui l’exposerait à un risque réel, fondé sur des motifs sérieux et avérés, d'être victime de torture ou encore d'un traitement inhumain ou dégradant au sens de l'art. 3 CEDH en cas d'expulsion en Turquie. Il n’a en outre plus d’activité politique depuis la Suisse, si ce n’est la participation à de simples manifestations (cf. supra p. 4). Il résulte du reste d’un arrêt du Tribunal administratif fédéral du 21 octobre 2021 (E-2861/2021 consid. 9.2) qu’il est notoire que la Turquie ne connaît pas une situation de guerre, de guerre civile ou de violence généralisée qui permettrait d'emblée et de manière générale de présumer l'existence d'une mise en danger concrète au sens de l'art. 83 al. 4 LEI. En définitive, compte tenu de la gravité des faits, de l’absence de prise de conscience encore constatée à l’audience d’appel – notamment s’agissant de l’exposition du public à la dangerosité de son acte –, du risque de récidive d’actes violents et de la très mauvaise intégration en Suisse, force est de constater que O.________ présente un</w:t>
      </w:r>
    </w:p>
    <w:p>
      <w:r>
        <w:t>- 38 - danger accru pour la sécurité publique, de sorte que l'intérêt public à son expulsion l'emporte largement sur son intérêt privé à demeurer en Suisse. Quant à son statut de réfugié, il ne fait pas obstacle au prononcé de l’expulsion, la situation en Turquie ayant évolué depuis 2007 et étant encore susceptible d’évolution d’ici la fin de l’exécution de la longue peine prononcée, d’une part, et les motifs invoqués à l’appui de la protection de l’art. 3 CEDH n’étant ni suffisamment rendus vraisemblables, ni actuels, d’autre part. Il s’ensuit que la mesure d’expulsion pour une durée de 15 ans prononcée à l’encontre de O.________, conforme aux normes constitutionnelles et conventionnelles, est proportionnée et doit être confirmée. 7. Au vu de ce qui précède, l’appel doit être rejeté et le jugement entrepris confirmé. La détention subie depuis le jugement de première instance doit être déduite de la peine infligée conformément à l’art. 51 CP. Le maintien en détention pour des motifs de sûreté de l’appelant doit en outre être ordonné pour garantir l’exécution de la peine prononcée et de la mesure. Le défenseur d’office de O.________ a produit en audience une liste d’opérations dont il n’y a pas lieu de s’écarter, si ce n’est pour y ajouter le temps consacré à l’audience d’appel. C’est ainsi une indemnité de 4'964 fr. 70 qui sera allouée à Me Hüsnü Yilmaz pour la procédure d’appel, correspondant à 24,1 heures d’avocat au tarif horaire de 180 fr., à 86 fr. 75 de débours au taux forfaitaire de 2%, à 120 fr. de vacation, à 349 fr. 95 de TVA et à 70 fr. de frais de déplacement hors TVA. Vu l’issue de la cause, les frais de la procédure d’appel, par 8'634 fr. 70, constitués des émoluments de jugement et d’audience (art.</w:t>
      </w:r>
    </w:p>
    <w:p>
      <w:r>
        <w:t>- 39 - 21 al. 1 et 2 TFIP), par 3’670 fr., ainsi que de l’indemnité d’office précitée, seront mis à la charge de O.________, qui succombe (art. 428 al. 1 CPP). O.________ ne sera tenu de rembourser à l’Etat l’indemnité allouée à son défenseur d’office que lorsque sa situation financière le permettra (art. 135 al. 4 let. a CPP).</w:t>
      </w:r>
    </w:p>
    <w:p>
      <w:r>
        <w:rPr>
          <w:b/>
        </w:rPr>
        <w:t>E. 10</w:t>
      </w:r>
    </w:p>
    <w:p>
      <w:r>
        <w:t>décembre 1984 contre la torture et autres peines ou traitements cruels, inhumains ou dégradants [RS 0.105]), lors même que ces garanties sont encore expressément réservées par l'art. 66d al. 1 CP (TF 6B_422/2021 précité consid. 1.4.5 destiné à la publication ; TF 6B_747/2019 du 24 juin 2020 consid. 2.1.2 ; cf. Busslinger/ Uebersax, Härtefallklausel und migrationsrechtliche Auswirkungen der Landesverweisung, Plädoyer 5/16 p. 99). Le juge de l'expulsion est tenu d'examiner lui-même, au stade du prononcé de l'expulsion déjà, si les conditions de l'art. 66a al. 2 CP sont réalisées et de renoncer à ordonner l'expulsion dans cette hypothèse (ATF 145 IV 455 consid. 9.4 ; ATF 144 IV 332 consid. 3.3 ; TF 6B_551/2021 du 17 septembre 2021 consid. 3.3.3; TF</w:t>
      </w:r>
    </w:p>
    <w:p>
      <w:r>
        <w:t>- 32 - 6B_422/2021 précité consid. 1.4.5 destiné à la publication ; TF 6B_747/2019 précité consid. 2.1.2; 6B_1024/2019 du 29 janvier 2020 consid. 1.3.5). Les éventuels obstacles à l'expulsion, au sens de l'art. 66d al. 1 CP, doivent déjà être pris en compte au moment du prononcé de l'expulsion, pour autant que ces circonstances soient stables et puissent être déterminées de manière définitive (TF 6B_105/2021 du 29 novembre 2021 consid. 3.4.2 ; TF 6B_368/2020 du 24 novembre 2021 consid. 3.4.1 ; TF 6B_551/2021 précité consid. 3.3.3 et TF 6B_555/2020 du 12 août 2021 consid. 1.3.4).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Il existe deux types de conditions au report de l'exécution de l'expulsion, l'une relative, qui suppose que le statut de réfugié ait été d'abord reconnu par la Suisse à l'étranger expulsé (art. 66d al. 1 let a CP, "flüchtlingsrechtliche Nonrefoulement-Prinzip"), et l'autre absolue, qui s'applique à toute personne quel que soit son statut (art. 66 d al. 1 let. b CP, "menschenrechtliche Nonrefoulement-Prinzip") (C. Perrier Depeursinge/ H. Monod, Commentaire romand, Code pénal I, 2017, n. 5 ad art. 66d CP). L'exception au principe de non-refoulement qui protège les réfugiés (art. 66d al. 1 let. a 2e phrase CP) doit être interprétée restrictivement, l'auteur doit en particulier représenter un danger pour la collectivité du pays d'accueil (Schlegel, Schweizerisches Strafgesetzbuch Handkommentar, 4e éd. 2020, n. 2 ad art. 66d CP). Le principe de non- refoulement découlant des normes de droit international ("menschenrechtliche Nonrefoulement-Prinzip") est absolu, en ce sens qu'il vaut indépendamment des infractions commises ou du potentiel de</w:t>
      </w:r>
    </w:p>
    <w:p>
      <w:r>
        <w:t>- 33 - dangerosité de l'auteur (Vetterli, StGB Annotierter Kommentar, 2020, n. 6 ad art. 66d CP ; Schlegel, op. cit., no 3 ad art. 66d CP).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 cf. aussi art. 33 al. 1 et 2 de la Convention du 28 juillet 1951 relative au statut des réfugiés [RS 0.142.30]). Pour la notion de crime ou de délit particulièrement grave, il convient de se référer à l'art. 65 LAsi, qui renvoie notamment à l'art. 63 al. 1 let. b LEI (cf. TF 6B_551/2021 précité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II 297 consid. 3 ; TF 6B_551/2021 précité consid. 3.3.2 ; cf. aussi TF 2C_396/2017 du 8 janvier 2018 consid. 6.1). Seul un crime particulièrement grave autorise à passer outre le principe de non- 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II 65 consid. 5.4 et 6.4).</w:t>
      </w:r>
    </w:p>
    <w:p>
      <w:r>
        <w:t>- 34 - L'art.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 Saadi contre Italie du 28 février 2008 [requête n° 37201/06] § 125 et 128;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p. 226).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