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PE21.018145 vom 14. Dezember 2021</w:t>
      </w:r>
    </w:p>
    <w:p>
      <w:r>
        <w:t>VD Tribunal cantonal, 2021-12-14, FR</w:t>
      </w:r>
    </w:p>
    <w:p>
      <w:r>
        <w:rPr>
          <w:b/>
        </w:rPr>
        <w:t xml:space="preserve">Quelle: </w:t>
      </w:r>
      <w:r>
        <w:t>https://mcp.opencaselaw.ch/entscheid/vd_gerichte_PE21.018145</w:t>
      </w:r>
    </w:p>
    <w:p>
      <w:r>
        <w:t>FR: VD_GERICHTE PE21.018145 du 14 décembre 2021</w:t>
      </w:r>
    </w:p>
    <w:p>
      <w:r>
        <w:t>IT: VD_GERICHTE PE21.018145 del 14 dicembre 2021</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auprès de l’autorité compétente par la partie plaignante qui a qualité pour recourir (art. 382 al. 1 CPP) et dans les formes prescrites (art. 385 CPP), le recours de I.________ est recevable.</w:t>
      </w:r>
    </w:p>
    <w:p>
      <w:r>
        <w:t>- 5 -</w:t>
      </w:r>
    </w:p>
    <w:p>
      <w:r>
        <w:rPr>
          <w:b/>
        </w:rPr>
        <w:t>E. 2.1</w:t>
      </w:r>
    </w:p>
    <w:p>
      <w:r>
        <w:t>Conformément à l’art. 310 al. 1 CPP, le Ministère public rend immédiatement – c'est-à-dire sans qu'une instruction soit ouverte (art. 309 al. 1 et 4 CPP ; ATF 144 IV 86 consid. 2.3.3) – une ordonnance de non- 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t>- 6 -</w:t>
      </w:r>
    </w:p>
    <w:p>
      <w:r>
        <w:rPr>
          <w:b/>
        </w:rPr>
        <w:t>E. 2.2</w:t>
      </w:r>
    </w:p>
    <w:p>
      <w:r>
        <w:t>Le Ministère public peut également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du Code de procédure pénale, 2e éd., Bâle 2016, n. 13 ad art. 310 CPP), doit être assimilée à un empêchement de procéder au sens de l’art. 310 al. 1 let. b CPP, du moins lorsqu’aucune infraction poursuivie d’office n’est en cause (CREP 15 février 2018/116 ; CREP 7 juillet 2017/462 ; CREP 12 décembre 2013/818). Selon l'art. 31 CP (Code pénal suisse du 21 décembre 1937 ; RS 311.0),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 TF 6B_145/2010 du 11 mai 2010 consid. 1.3 ; ATF 132 IV 49 consid. 3.2 ;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du Code pénal, 2e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3</w:t>
      </w:r>
    </w:p>
    <w:p>
      <w:r>
        <w:t>- 7 -</w:t>
      </w:r>
    </w:p>
    <w:p>
      <w:r>
        <w:rPr>
          <w:b/>
        </w:rPr>
        <w:t>E. 3.1</w:t>
      </w:r>
    </w:p>
    <w:p>
      <w:r>
        <w:t>Le recourant s’étonne tout d’abord du fait que sa plainte ait été examinée dans le cadre de la même enquête préliminaire que la plainte de son codétenu J.________.</w:t>
      </w:r>
    </w:p>
    <w:p>
      <w:r>
        <w:rPr>
          <w:b/>
        </w:rPr>
        <w:t>E. 3.2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La disjonction doit constituer l'exception et l'unité de la procédure la règle, dans le but d'économie de procédure, mais aussi dans celui de prévenir des décisions contradictoires (ATF 138 IV 29 consid. 3.2; ATF 138 IV 214 consid. 3.2; Moreillon/Parein-Reymond, op. cit., n. 2 ad art. 30 CPP ; CREP</w:t>
      </w:r>
    </w:p>
    <w:p>
      <w:r>
        <w:rPr>
          <w:b/>
        </w:rPr>
        <w:t>E. 3.3</w:t>
      </w:r>
    </w:p>
    <w:p>
      <w:r>
        <w:t>En l’espèce, le Ministère public a été saisi successivement de la plainte déposée par J.________, puis de la plainte déposée par le recourant. Ces deux plaintes pénales, qui étaient dirigées contre les mêmes personnes exerçant la même fonction au sein des EPO pour des faits analogues, ont donc tout naturellement, conformément au principe de l’unité de la procédure, été enregistrées dans le même dossier (PV op. p. 2). De toute façon, la Chambre de céans ne discerne pas en quoi cette manière de procéder ait pu porter préjudice au recourant. Il ne se justifie donc pas d’annuler l’ordonnance attaquée pour ce motif. 4. 4.1 Le recourant reproche au Ministère public d’avoir rendu une ordonnance de non-entrée en matière, sans toutefois revenir sur l’infraction de diffamation dont il avait fait état dans sa plainte. Il critique l’absence de poursuites pour la destruction de ses documents, soutenant que les faits se seraient produits jusqu’au mois d’avril 2021, et revient sur l’épisode de la douche.</w:t>
      </w:r>
    </w:p>
    <w:p>
      <w:r>
        <w:t>- 8 - 4.2 S’agissant de la destruction de documents du recourant par M.________, le témoin K.________ a confirmé que ce gardien les avait bien jetés (PV aud. 3 R. 10), comme ce dernier le prétend. Or, contrairement à ce que le recourant tente d’expliquer dans son recours, les faits reprochés ne se sont pas produits jusqu’au mois d’avril 2021, mais datent du mois d’octobre 2020, comme cela ressort de sa plainte (P. 6). Dans la mesure où les infractions de soustraction d’une chose mobilière et de dommages à la propriété ne se poursuivent que sur plainte (art. 141 et 144 al. 1 CP), la plainte pénale déposée le 17 avril 2021 au plus tôt par I.________ est manifestement tardive. L’audition du témoin X.________ ne changerait rien à ce constat. La tardiveté de la plainte suffit donc à confirmer l’ordonnance de non-entrée en matière concernant ces infractions, sans qu’il soit nécessaire d’examiner si les éléments constitutifs de celles-ci auraient été réalisés. Quant à l’épisode de la douche, il ressort de la plainte déposée par le recourant qu’il a été très contrarié d’avoir dû se déplacer dans les couloirs de la prison vêtu d’un short et d’un T-shirt, passer devant ses codétenus dans cette tenue, attendre et d’avoir eu froid. Ces faits ne sont toutefois constitutifs d’aucune infraction pénale. Au surplus, le récit du plaignant ne laisse entrevoir aucun indice de la commission d’une autre infraction pénale, de sorte que toute mesure d’instruction serait inutile. Partant, c’est à bon droit que le procureur a rendu une ordonnance de non-entrée en matière. Au reste, si les surveillants doivent traiter chaque détenu avec fermeté et user de l'autorité nécessaire à l'accomplissement de leur mission (cf. art. 27 al. 1 et 195 al. 1 R-EPO [Règlement des Etablissements de la plaine de l'Orbe du 20 janvier 1982 ; BLV 340.11.1]), il leur appartient d’imposer leur autorité tout en gardant leur calme en toutes circonstances, même si cela peut parfois s’avérer difficile et compliqué.</w:t>
      </w:r>
    </w:p>
    <w:p>
      <w:r>
        <w:t>- 9 - 5. En définitive, le recours interjeté par I.________, manifestement mal fondé, doit être rejeté sans échange d’écritures (art. 390 al. 2 CPP), l’ordonnance entreprise étant confirmée. Les frais de la procédure de recours,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novembre 2021 est confirmée. III. Les frais d’arrêt, par 880 fr. (huit cent huitante francs), sont mis à la charge de I.________. IV. L’arrêt est exécutoire. Le président : La greffière : Du Le présent arrêt, dont la rédaction a été approuvée à huis clos, est notifié, par l'envoi d'une copie complète, à : - M. I.________, - M. J.________, - Ministère public central, et communiqué à : - M. le Procureur de l’arrondissement du Nord vaudois,</w:t>
      </w:r>
    </w:p>
    <w:p>
      <w:r>
        <w:t>- 10 - - M. M.________, - M. 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7</w:t>
      </w:r>
    </w:p>
    <w:p>
      <w:r>
        <w:t>décembre 2016/828).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