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PE21.018044 vom 30. November 2021</w:t>
      </w:r>
    </w:p>
    <w:p>
      <w:r>
        <w:t>VD Tribunal cantonal, 2021-11-30, FR</w:t>
      </w:r>
    </w:p>
    <w:p>
      <w:r>
        <w:rPr>
          <w:b/>
        </w:rPr>
        <w:t xml:space="preserve">Quelle: </w:t>
      </w:r>
      <w:r>
        <w:t>https://mcp.opencaselaw.ch/entscheid/vd_gerichte_PE21.018044</w:t>
      </w:r>
    </w:p>
    <w:p>
      <w:r>
        <w:t>FR: VD_GERICHTE PE21.018044 du 30 novembre 2021</w:t>
      </w:r>
    </w:p>
    <w:p>
      <w:r>
        <w:t>IT: VD_GERICHTE PE21.018044 del 30 novembre 2021</w:t>
      </w:r>
    </w:p>
    <w:p>
      <w:pPr>
        <w:pStyle w:val="Heading2"/>
      </w:pPr>
      <w:r>
        <w:t>Erwägungen</w:t>
      </w:r>
    </w:p>
    <w:p>
      <w:r>
        <w:rPr>
          <w:b/>
        </w:rPr>
        <w:t>E. 19</w:t>
      </w:r>
    </w:p>
    <w:p>
      <w:r>
        <w:t>octobre 2021 ainsi que le mandat de perquisition d’enregistrements du 28 octobre 2021 sont confirmés. III. L'indemnité allouée au défenseur d'office de M.________ est fixée à 791 fr. (sept cent nonante et un francs). IV. Les frais d'arrêt, par 1'100 fr. (mille cent francs), ainsi que l’indemnité due au défenseur d’office de M.________, par 791 fr. (sept cent nonante et un francs), sont mis à la charge de ce dernier. V. Le remboursement à l'Etat de l'indemnité allouée au chiffre III ci-dessus ne sera exigible que pour autant que la situation financière de M.________ le permette. VI. L’arrêt est exécutoire. Le président : Le greffier :</w:t>
      </w:r>
    </w:p>
    <w:p>
      <w:r>
        <w:t>- 12 - Du Le présent arrêt, dont la rédaction a été approuvée à huis clos, est notifié, par l'envoi d'une copie complète, à : - Me Kathrin Gruber, avocate (pour M.________),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