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PE21.017907 vom 9. März 2022</w:t>
      </w:r>
    </w:p>
    <w:p>
      <w:r>
        <w:t>VD Tribunal cantonal, 2022-03-09, FR</w:t>
      </w:r>
    </w:p>
    <w:p>
      <w:r>
        <w:rPr>
          <w:b/>
        </w:rPr>
        <w:t xml:space="preserve">Quelle: </w:t>
      </w:r>
      <w:r>
        <w:t>https://mcp.opencaselaw.ch/entscheid/vd_gerichte_PE21.017907</w:t>
      </w:r>
    </w:p>
    <w:p>
      <w:r>
        <w:t>FR: VD_GERICHTE PE21.017907 du 9 mars 2022</w:t>
      </w:r>
    </w:p>
    <w:p>
      <w:r>
        <w:t>IT: VD_GERICHTE PE21.017907 del 9 marzo 2022</w:t>
      </w:r>
    </w:p>
    <w:p>
      <w:pPr>
        <w:pStyle w:val="Heading2"/>
      </w:pPr>
      <w:r>
        <w:t>Erwägungen</w:t>
      </w:r>
    </w:p>
    <w:p>
      <w:r>
        <w:rPr>
          <w:b/>
        </w:rPr>
        <w:t>E. 6</w:t>
      </w:r>
    </w:p>
    <w:p>
      <w:r>
        <w:t>septembre 2021/821 ; CREP 7 octobre 2021/991 ; CREP 2 novembre 2021/997 ; CREP 10 novembre 2021/1030 ; CREP 12 novembre 2021/1034). On peut renvoyer à ces arrêts, en rappelant que le recourant doit en particulier préciser les points de la décision qu’il attaque, les motifs</w:t>
      </w:r>
    </w:p>
    <w:p>
      <w:r>
        <w:t>- 5 -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2.3 En l’espèce, force est de constater que le recours de N.________ est, une fois de plus, difficilement compréhensible. Dans les 150 pages que compte cet acte, le recourant mélange des faits relatifs aux nombreuses autres procédures qui ont été ouvertes à la suite de ses précédentes plaintes. S’agissant de l’ordonnance ici litigieuse, le recourant maintient que le courriel que lui a adressé H.________ le 8 octobre 2021 serait constitutif de faux dans les titres (cf. recours, p. 11 pt. 6.4 et p. 16 pt. 2.3). Il se contente d’invoquer une violation de son droit d’être entendu, une absence de motivation ainsi qu’une violation du devoir de poursuite et de renvoyer à la lecture des pièces qu’il a produites à l’appui de sa plainte sans développer aucun de ces griefs. Manifestement, et une fois de plus, les réquisits de l’art. 385 al. 1 CPP ne sont pas respectés. L’art. 385 al. 2 CPP ne saurait trouver application, d’autant moins que le recourant n’ignore pas les exigences de motivation, ses précédents recours ayant déjà été écartés pour ce motif (cf. CREP 6 septembre 2021/821 ; CREP 7 octobre 2021/991 ; CREP 2 novembre 2021/997 ; CREP</w:t>
      </w:r>
    </w:p>
    <w:p>
      <w:r>
        <w:rPr>
          <w:b/>
        </w:rPr>
        <w:t>E. 10</w:t>
      </w:r>
    </w:p>
    <w:p>
      <w:r>
        <w:t>novembre 2021/1030 ; CREP 12 novembre 2021/1034). Quant aux autres conclusions prises par N.________, qui requiert la radiation d’un rapport de police, la révision de deux arrêts rendus par le Tribunal fédéral, l’annulation des « procédures pénales dans le canton du Valais et de Vaud ayant soutenu la calomnie de [...]», des mesures provisionnelles « en application des art. 104 LTF, 261 CPC et 149 CPP » et la constatation de la compétence de la juridiction fédérale compte tenu de « la dénonciation calomnieuse d’une collaboratrice du Tribunal fédéral », elles ne relèvent pas de la compétence de la Chambre des recours pénale et, partant, sont irrecevables.</w:t>
      </w:r>
    </w:p>
    <w:p>
      <w:r>
        <w:t>- 6 - Le recours est par conséquent irrecevable. 3. N.________ demande enfin que la procédure de recours soit suspendue jusqu’à droit connu « sur le fond de l’affaire situé au niveau du Tribunal fédéral et dans la juridiction pénale fédérale ». Dans la mesure où le recours est irrecevable, cette demande est sans objet pour la présente procédure de recours. 4. Au vu de ce qui précède, la demande de récusation doit être rejetée, dans la mesure où elle est recevable, et le recours doit être déclaré irrecevable. Les frais de procédure, constitués en l’espèce du seul émolument d’arrêt (art. 422 al. 1 CPP), par 660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rejetée dans la mesure où elle est recevable. II. Le recours est irrecevable. III. La requête de suspension de la procédure de recours est sans objet. IV. Les frais d’arrêt, par 660 fr. (six cent soixante francs), sont mis à la charge de N.________.</w:t>
      </w:r>
    </w:p>
    <w:p>
      <w:r>
        <w:t>- 7 - V. L’arrêt est exécutoire. Le président : La greffière : Du Le présent arrêt, dont la rédaction a été approuvée à huis clos, est notifié, par l'envoi d'une copie complète, à : - M.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