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PE21.017739 vom 15. Juli 2022</w:t>
      </w:r>
    </w:p>
    <w:p>
      <w:r>
        <w:t>VD Tribunal cantonal, 2022-07-15, FR</w:t>
      </w:r>
    </w:p>
    <w:p>
      <w:r>
        <w:rPr>
          <w:b/>
        </w:rPr>
        <w:t xml:space="preserve">Quelle: </w:t>
      </w:r>
      <w:r>
        <w:t>https://mcp.opencaselaw.ch/entscheid/vd_gerichte_PE21.017739</w:t>
      </w:r>
    </w:p>
    <w:p>
      <w:r>
        <w:t>FR: VD_GERICHTE PE21.017739 du 15 juillet 2022</w:t>
      </w:r>
    </w:p>
    <w:p>
      <w:r>
        <w:t>IT: VD_GERICHTE PE21.017739 del 15 luglio 2022</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En l’espèce, déposé en temps utile devant l’autorité compétente par la partie plaignante qui a qualité pour recourir (art. 382 al. 1 CPP) et dans les formes prescrites (art. 385 al. 1 CPP), le recours est recevable. Même si cela ne figure pas dans les conclusions de son recours, le plaignant se limite à contester la non-entrée en matière en tant qu’elle porte sur les infractions de gestion déloyale et d’abus de confiance (cf. not. ch. 10, p. 10). Il n’y a donc pas lieu de statuer sur l’infraction de faux dans les titres.</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w:t>
      </w:r>
    </w:p>
    <w:p>
      <w:r>
        <w:t>- 8 - duriore », qui découle du principe de la légalité (art. 5 al. 1 Cst. [Constitution fédérale de la Confédération suisse du 18 avril 1999; RS 101] et art. 2 al. 2 CPP; ATF 138 IV 86 consid. 4.2; TF 6B_941/2021 du 9 mars 2022 consid. 3.2)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TF 6B_941/2021 précité).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3.1.1</w:t>
      </w:r>
    </w:p>
    <w:p>
      <w:r>
        <w:t>L’art. 138 ch. 1 CP (Code pénal suisse du 21 décembre 1937; RS 311.0) prévoit que celui qui, pour se procurer ou procurer à un tiers un enrichissement illégitime, se sera approprié une chose mobilière appartenant à autrui et qui lui avait été confiée (al. 1), ou qui, sans droit, aura employé à son profit ou au profit d’un tiers des valeurs patrimoniales qui lui avaient été confiées (al. 2), sera puni d’une peine privative de liberté de cinq ans au plus ou d’une peine pécuniaire. L’abus de confiance commis au préjudice des proches ou des familiers ne sera poursuivi que sur plainte (al. 3).</w:t>
      </w:r>
    </w:p>
    <w:p>
      <w:r>
        <w:t>- 9 - L’art. 158 ch. 1 CP dispose que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Le gérant d’affaires qui, sans mandat, aura agi de même encourra la même peine. Si l’auteur a agi dans le dessein de se procurer ou de procurer à un tiers un enrichissement illégitime, le juge pourra prononcer une peine privative de liberté de un à cinq ans. L’art. 158 ch. 2 CP prévoit que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 L’art. 158 ch. 3 CP prévoit que la gestion déloyale au préjudice des proches ou des familiers ne sera poursuivie que sur plainte.</w:t>
      </w:r>
    </w:p>
    <w:p>
      <w:r>
        <w:rPr>
          <w:b/>
        </w:rPr>
        <w:t>E. 3.1.2</w:t>
      </w:r>
    </w:p>
    <w:p>
      <w:r>
        <w:t>A teneur de l’art. 110 al. 1 CP, sont notamment des proches d’une personne ses frères et sœurs germains, consanguins ou utérins.</w:t>
      </w:r>
    </w:p>
    <w:p>
      <w:r>
        <w:rPr>
          <w:b/>
        </w:rPr>
        <w:t>E. 3.1.3</w:t>
      </w:r>
    </w:p>
    <w:p>
      <w:r>
        <w:t>Aux termes de l'art. 30 al. 1 CP, si une infraction n'est punie que sur plainte, toute personne lésée peut porter plainte contre l'auteur. Le droit de porter plainte se prescrit par trois mois; le délai court du jour où l’ayant droit a connu l’auteur de l’infraction (art. 31 CP). Le point de départ du délai est la connaissance de l'auteur et bien entendu également de l'infraction, ce qui, selon la jurisprudence, implique de savoir de manière sûre et fiable que ses éléments constitutifs objectifs et subjectifs sont donnés (TF 6B_1113/2014 du 28 octobre 2015; TF 6B_145/2010 du 11 mai 2010 consid. 1.3; ATF 132 IV 49 consid. 3.2 in initio; ATF 126 IV 131 consid. 2a). Ce délai impératif de trois mois concerne uniquement les infractions poursuivies sur plainte. Le délai institué par l'art. 31 CP étant</w:t>
      </w:r>
    </w:p>
    <w:p>
      <w:r>
        <w:t>- 10 - un délai de péremption, il ne peut être ni interrompu, ni prolongé (ATF 118 IV 325 consid. 2b).</w:t>
      </w:r>
    </w:p>
    <w:p>
      <w:r>
        <w:rPr>
          <w:b/>
        </w:rPr>
        <w:t>E. 3.2</w:t>
      </w:r>
    </w:p>
    <w:p>
      <w:r>
        <w:t>Dans le cas particulier, il y a lieu de relever, préalablement à toute autre considération, que l’abus de confiance et la gestion déloyale au préjudice des proches ne sont poursuivis que sur plainte (art. 138 ch. 1 al. 3 et 158 ch. 3 CP, précités). Frère du plaignant, B.M.________ est un proche au sens légal (art. 110 al. 1 CP, précité). La plainte pénale a été déposée le 14 octobre 2021. Les comptes de l’exercice 2019 et ceux des exercices antérieurs ont cependant été déposés plus de trois mois auparavant. Dès lors, en tant qu’elle est dirigée contre B.M.________, la plainte ne peut porter que sur les comptes de l’exercice 2020, adressés au plaignant le 31 juillet 2021, comme déjà relevé; elle est tardive en ce qui concerne les comptes précédents (art. 31 CP). La tardiveté d’une plainte, à l’instar du retrait de la plainte (Moreillon/Parein-Reymond, Petit commentaire CPP, 2e éd., Bâle 2016, n. 13 ad art. 310 CPP), doit être assimilée à un empêchement de procéder au sens de l’art. 310 al. 1 let. b CPP, du moins lorsqu’aucune infraction poursuivie d’office n’est en cause (CREP 13 avril 2022/268 consid. 2.1; CREP 2 février 2022/86 consid. 2.1.1; CREP 22 octobre 2021/976 consid. 2.1.1). Cela ne s’applique toutefois pas à l’égard de J.________, faute pour celui-ci d’être un proche du plaignant (art. 27 CP). De toute manière, les éléments constitutifs des infractions d’abus de confiance et de gestion déloyale ne sont en tout état de cause pas réalisés, comme cela sera exposé au considérant 5 ci-dessous.</w:t>
      </w:r>
    </w:p>
    <w:p>
      <w:r>
        <w:rPr>
          <w:b/>
        </w:rPr>
        <w:t>E. 4.1</w:t>
      </w:r>
    </w:p>
    <w:p>
      <w:r>
        <w:t>Sur le plan objectif, l'auteur d’un abus de confiance au sens de l'art. 138 ch. 1 al. 2 CP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(ATF 133 IV 21 consid. 6.2). Le comportement délictueux consiste à utiliser les valeurs patrimoniales contrairement aux</w:t>
      </w:r>
    </w:p>
    <w:p>
      <w:r>
        <w:t>- 11 - instructions reçues, en s'écartant de la destination fixée (ATF 129 IV 257 consid. 2.2.1). Du point de vue subjectif, l'auteur doit avoir agi intentionnellement et dans un dessein d'enrichissement illégitime (ATF 133 IV 21 consid. 6.1.2). L'élément subjectif de l'infraction n'est toutefois pas donné en cas de capacité de restituer (Ersatzbereitschaft), par quoi l'on désigne l'état de l'auteur qui peut justifier d'avoir, dès lors que la créance était exigible, eu à tout moment la volonté et la possibilité de présenter l'équivalent des montants employés (ATF 118 IV 32 consid. 2a).</w:t>
      </w:r>
    </w:p>
    <w:p>
      <w:r>
        <w:rPr>
          <w:b/>
        </w:rPr>
        <w:t>E. 4.2</w:t>
      </w:r>
    </w:p>
    <w:p>
      <w:r>
        <w:t>En ce qui concerne l’infraction de gestion déloyale, le comportement délictueux visé par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6B_988/2021 du 2 février 2022 consid. 2.1.2; TF 6B_815/2020 du 22 décembre 2020 consid. 4.2; TF 6B_1074/2019 du 14 novembre 2019 consid. 4.1 et les références citées). 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précité; ATF 129 IV 124 consid. 3.1; TF 6B_279/2021 du 20 octobre 2021 consid.</w:t>
      </w:r>
    </w:p>
    <w:p>
      <w:r>
        <w:t>- 12 - 1.2). Un préjudice temporaire suffit (ATF 121 IV 104 consid. 2c; TF 6B_382/2017 du 2 février 2018 consid. 3.1). L'infraction de gestion déloyale requiert l'intention, qui doit porter sur tous les éléments constitutifs. Le dol éventuel suffit, mais celui- ci doit être nettement et strictement caractérisé vu l'imprécision des éléments constitutifs objectifs de cette infraction (ATF 142 IV 346 précité; TF 6B_279/2021 précité; TF 6B_815/2020 précité). Dans sa forme aggravée, il faut encore que l'auteur ait agi dans un dessein d'enrichissement illégitime (TF 6B_663/2014 du 22 décembre 2017 consid. 6.4).</w:t>
      </w:r>
    </w:p>
    <w:p>
      <w:r>
        <w:rPr>
          <w:b/>
        </w:rPr>
        <w:t>E. 5.1</w:t>
      </w:r>
    </w:p>
    <w:p>
      <w:r>
        <w:t>En l’espèce, s’agissant d’abord de l’infraction d’abus de confiance, le recourant désigne son frère comme l’auteur d’un préjudice équivalant aux valeurs patrimoniales qui lui auraient été confiées au sens légal, à savoir les revenus tirés de l’exploitation des parcelles sous vignolage (ch. 6/2 du recours). Selon la jurisprudence, il y a valeurs patrimoniales confiées si le lésé a volontairement transféré à l’auteur le pouvoir matériel et juridique d’en disposer (Dupuis/Moreillon/Piguet/Berger/Mazou/Rodigari [éd.], Petit commentaire CP, 2e éd., Bâle 2017, n. 28 ad art. 138 CP). Tel n’est pas le cas en l’espèce. D’abord le contrat de vignolage lie les membres de l’hoirie à J.________ uniquement, à l’exclusion de B.M.________, lequel ne saurait du reste avoir conclu un contrat avec soi-même. Ensuite, le contrat de vignolage est muet quant au sort des revenus tirés de l’exploitation des parcelles. L’abus de confiance implique aussi une utilisation sans droit des valeurs patrimoniales confiées. Il n’existe cependant, en l’espèce, aucune obligation légale ou conventionnelle pour B.M.________ de verser tout montant obtenu sur un compte de l’hoirie [...], même si la communauté héréditaire comme telle n’a évidemment pas la personnalité juridique (ATF 116 Ib 447 consid. 2a). Au contraire, le recourant ne s’est</w:t>
      </w:r>
    </w:p>
    <w:p>
      <w:r>
        <w:t>- 13 - pas opposé à la demande de son frère du 21 août 2016 à [...] tendant à ce que la récolte ne soit plus payée sur le compte de l’hoirie, mais sur le compte dédié à l’activité viticole (P. 4/2/21). Ensuite, l’abus de confiance nécessite un dommage. Dans son recours (ch. 6/4, p. 7), le plaignant soutient qu’un tel préjudice économique lui a été causé « puisque les revenus qui devraient être contractuellement remis aux héritiers après paiement d’un montant de vignolage compatible avec le contrat signé avec J.________ puisque les revenus ne sont pas mis à disposition des héritiers mais servent à nourrir un stock de vin qui est propriété du seul B.M.________ ». Avec la procureure, force est de constater que, selon la jurisprudence rendue en matière civile (TF, arrêt 5A_338/2010 et 5A_341/2010 du 4 octobre 2010 consid. 6.1 et 6.2), un héritier qui ne peut réclamer l’attribution d’un bien que lors du partage de la succession, mais en use auparavant en l’exploitant, doit indemniser ses cohéritiers pour la jouissance du bien entre le décès du de cujus et le moment du partage, en vertu du seul droit successoral (art. 602 CC en lien avec les art. 652 ss CC [Code civil; RS 210]), donc indépendamment de tout contrat de bail à ferme qui le lierait aux membres de la communauté héréditaire. Le recourant est donc titulaire d’une créance en indemnisation dans le cadre du partage envers B.M.________. Tout dommage de ce chef au sens de l’art. 138 CP est donc exclu. De toute manière, le recourant soutient, comme déjà relevé, que les revenus de l’exploitation viticole servent « à nourrir un stock de vins qui est propriété du seul B.M.________ ». Il mentionne à cet effet le montant de 671'553 fr. au titre de la valeur de ce stock au 31 décembre 2020 (P. 31; mémoire de recours, let. A in fine, p. 5). Il admet donc lui- même, dans l’hypothèse d’un abus de confiance, que son frère a la capacité de restituer (Ersatzbereitschaft). L’élément subjectif de l’infraction fait ainsi de toute façon défaut.</w:t>
      </w:r>
    </w:p>
    <w:p>
      <w:r>
        <w:t>- 14 - Il n’y a donc pas d’indices suffisants de la commission d’un abus de confiance par B.M.________.</w:t>
      </w:r>
    </w:p>
    <w:p>
      <w:r>
        <w:rPr>
          <w:b/>
        </w:rPr>
        <w:t>E. 5.2.1</w:t>
      </w:r>
    </w:p>
    <w:p>
      <w:r>
        <w:t>Pour ce qui est de l’infraction de gestion déloyale, le recourant soutient d’abord (ch. 2, p. 8) que B.M.________ viole son devoir contractuel envers ses deux cohéritiers d’optimiser le rendement du domaine viticole. Le plaignant lui reproche ainsi d’avoir constitué un stock de bouteilles de vins d’une valeur de 671'533 fr au 31 décembre 2022 (recte : 2020). On ne peut que constater la contradiction entre ces deux assertions, pour en déduire que B.M.________ a justement fait fructifier le domaine. Le fait que ce stock figure à l’actif des comptes de l’exploitation du domaine par lui- même ne consacre aucune violation de son devoir de gestion par l’exploitant. Comme relevé ci-dessus, c’est dans le cadre du partage de la succession, donc en vertu du droit successoral, que les cohéritiers disposent d’une créance envers l’exploitant du domaine de l’hoirie. Le recourant soutient ensuite que son frère a abusé de son pouvoir de représentation dans le seul intérêt de son entreprise individuelle (ch. 2, p. 8) en utilisant à son seul profit le vigneron-tâcheron J.________ pour constituer le stock de vins d’une valeur de 671’533 fr. déjà mentionné. Le recourant oublie que le vigneron-tâcheron est lié aux trois héritiers par un contrat de vignolage et n’a effectué que l’ouvrage auquel il est tenu à ce titre. On ne voit pas en quoi le fait que ce travail ait contribué à constituer ce stock de vins serait révélateur d’un abus du pouvoir de représentation de la part de B.M.________. On rappellera en outre, avec la Procureure, que la violation d’un simple devoir général de restituer ou de rendre des comptes ne suffit pas en soi pour retenir la violation d’un devoir de gestion au sens de l’art. 158 CP (Dupuis et alii [éd.], op. cit., n. 19 ad art. 158 CP). Or, c’est tout ce qui peut, tout au plus, être reproché à B.M.________. Le recourant soutient encore (ch. 3, p. 8) que le dommage est manifeste, puisque les trois héritiers sont privés du stock de vin déjà</w:t>
      </w:r>
    </w:p>
    <w:p>
      <w:r>
        <w:t>- 15 - mentionné. Il suffit, pour ce qui est du dommage prétendu, de renvoyer, mutatis mutandis, aux motifs ci-dessus relatifs à l’abus de confiance (consid. 5.1). Ainsi, le fait que le recourant soit titulaire d’une créance en indemnisation dans le cadre du partage exclut tout préjudice au sens pénal. Il s’ensuit qu’il n’y a pas davantage de soupçon d’infraction suffisant à l’encontre de B.M.________ pour ce qui est de l’infraction de gestion déloyale.</w:t>
      </w:r>
    </w:p>
    <w:p>
      <w:r>
        <w:rPr>
          <w:b/>
        </w:rPr>
        <w:t>E. 5.2.2</w:t>
      </w:r>
    </w:p>
    <w:p>
      <w:r>
        <w:t>Par voie de conséquence, de tels indices n’existent pas non plus à l’encontre de [...], qualifié de complice de B.M.________ par le recourant. Au surplus, à supposer que [...] ait réalisé des revenus annuels supérieurs à ceux prévus par son contrat de vignolage, comme le prétend le recourant, on ne voit pas – et le recourant ne l’expose pas – en quoi ce fait pourrait constituer une infraction pénale.</w:t>
      </w:r>
    </w:p>
    <w:p>
      <w:r>
        <w:rPr>
          <w:b/>
        </w:rPr>
        <w:t>E. 5.3</w:t>
      </w:r>
    </w:p>
    <w:p>
      <w:r>
        <w:t>Enfin, le recourant, s’en prend dans son acte de recours à la tenue de la comptabilité par B.M.________. Il n’a toutefois pas prétendu, dans sa plainte, pas plus qu’il n’a exposé, dans son acte de recours, que le prétendu non-respect de certains principes comptables serait constitutif d’une infraction pénale, ni a fortiori ne fournit d’élément précis en ce sens.</w:t>
      </w:r>
    </w:p>
    <w:p>
      <w:r>
        <w:rPr>
          <w:b/>
        </w:rPr>
        <w:t>E. 5.4</w:t>
      </w:r>
    </w:p>
    <w:p>
      <w:r>
        <w:t>La non-entrée en matière (partielle) procède donc d’une correcte application de l’art. 310 al. 1 let. a CPP.</w:t>
      </w:r>
    </w:p>
    <w:p>
      <w:r>
        <w:rPr>
          <w:b/>
        </w:rPr>
        <w:t>E. 5.5</w:t>
      </w:r>
    </w:p>
    <w:p>
      <w:r>
        <w:t>En réalité, le recourant tente, par l’usage de la voie pénale, de renforcer sa position dans la procédure en partage successoral. La problématique est en effet civile. Il s’agit d’un litige portant sur la reddition de comptes, ainsi que sur l’établissement de décomptes et de créances successorales, toutes questions relevant du juge du partage. D’ailleurs, la sœur du recourant, intéressée au même titre que lui, ne s’est pas jointe à l’action pénale, alors même qu’elle est partie à l’action civile.</w:t>
      </w:r>
    </w:p>
    <w:p>
      <w:r>
        <w:t>- 16 -</w:t>
      </w:r>
    </w:p>
    <w:p>
      <w:r>
        <w:rPr>
          <w:b/>
        </w:rPr>
        <w:t>E. 6</w:t>
      </w:r>
    </w:p>
    <w:p>
      <w:r>
        <w:t>En définitive, le recours, manifestement mal fondé, doit être rejeté sans échange d’écritures (art. 390 al. 2 CPP) et l’ordonnance attaquée confirmée. Les frais de la procédure de recours, constitués du seul émolument d’arrêt, par 1'430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1er mars 2022 est confirmée. III. Les frais d’arrêt, par 1'540 fr. (mille cinq cent quarante francs), sont mis à la charge d’A.M.________. IV. L’arrêt est exécutoire. La présidente : Le greffier : Du Le présent arrêt, dont la rédaction a été approuvée à huis clos, est notifié, par l'envoi d'une copie complète, à : - Me Nicolas Perret, avocat (pour A.M.________), - Ministère public central, et communiqué à : - Mme la Procureure de l’arrondissement de La Côte,</w:t>
      </w:r>
    </w:p>
    <w:p>
      <w:r>
        <w:t>- 17 -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