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PE21.017460 vom 6. August 2024</w:t>
      </w:r>
    </w:p>
    <w:p>
      <w:r>
        <w:t>VD Tribunal cantonal, 2024-08-06, FR</w:t>
      </w:r>
    </w:p>
    <w:p>
      <w:r>
        <w:rPr>
          <w:b/>
        </w:rPr>
        <w:t xml:space="preserve">Quelle: </w:t>
      </w:r>
      <w:r>
        <w:t>https://mcp.opencaselaw.ch/entscheid/vd_gerichte_PE21.017460</w:t>
      </w:r>
    </w:p>
    <w:p>
      <w:r>
        <w:t>FR: VD_GERICHTE PE21.017460 du 6 août 2024</w:t>
      </w:r>
    </w:p>
    <w:p>
      <w:r>
        <w:t>IT: VD_GERICHTE PE21.017460 del 6 agosto 2024</w:t>
      </w:r>
    </w:p>
    <w:p>
      <w:pPr>
        <w:pStyle w:val="Heading2"/>
      </w:pPr>
      <w:r>
        <w:t>Erwägungen</w:t>
      </w:r>
    </w:p>
    <w:p>
      <w:r>
        <w:rPr>
          <w:b/>
        </w:rPr>
        <w:t>E. 4.1</w:t>
      </w:r>
    </w:p>
    <w:p>
      <w:r>
        <w:t>S’agissant des faits décrits sous cas 1 de l’acte d’accusation (cf. ch. 2.1 ci-dessus), l’appelant admet avoir séjourné en Suisse sans plus être au bénéfice d’une autorisation de séjour valable lorsque son permis d’étudiant n’a plus été renouvelé. Il explique avoir néanmoins tenté de régulariser sa situation, en vain, et avoir vécu dans notre pays pour des</w:t>
      </w:r>
    </w:p>
    <w:p>
      <w:r>
        <w:t>- 18 - motifs qui tiennent aux attaches personnelles développées notamment durant la période pendant laquelle il était étudiant. Ces liens, selon lui durables et profonds, expliqueraient qu’il soit resté vivre dans les environs de Lausanne après ses études, là où il a passé une partie importante de sa jeunesse. L’appelant se prévaut ainsi d’une négligence et plaide l’application de l’art. 115 al. 3 LEI.</w:t>
      </w:r>
    </w:p>
    <w:p>
      <w:r>
        <w:rPr>
          <w:b/>
        </w:rPr>
        <w:t>E. 4.2</w:t>
      </w:r>
    </w:p>
    <w:p>
      <w:r>
        <w:t>Aux termes de l’art. 115 al. 1 LEI, est puni d’une peine privative de liberté d’un an au plus ou d’une peine pécuniaire notamment quiconque contrevient aux dispositions sur l’entrée en Suisse (let. a) ou séjourne illégalement en Suisse, notamment après l’expiration de la durée du séjour non soumis à autorisation ou du séjour autorisé (let. b). L’art. 115 al. 3 LEI prévoit que la peine est l’amende si l’auteur agit par négligence.</w:t>
      </w:r>
    </w:p>
    <w:p>
      <w:r>
        <w:rPr>
          <w:b/>
        </w:rPr>
        <w:t>E. 4.3</w:t>
      </w:r>
    </w:p>
    <w:p>
      <w:r>
        <w:t>En l’espèce, il ne fait pas de doute que l’appelant a agi intentionnellement, dans la mesure où il a admis être demeuré en Suisse en raison des attaches personnelles qu’il aurait développées dans notre pays. Sa condamnation pour séjour illégal au sens de l’art. 115 al. 1 let. b LEI doit donc être confirmée.</w:t>
      </w:r>
    </w:p>
    <w:p>
      <w:r>
        <w:rPr>
          <w:b/>
        </w:rPr>
        <w:t>E. 5.1</w:t>
      </w:r>
    </w:p>
    <w:p>
      <w:r>
        <w:t>L’appelant conteste sa condamnation pour tentative d’escroquerie à raison des faits décrits sous cas 2 de l’acte d’accusation (cf. ch. 2.2 ci-dessus). Il explique que les deux colis ont été reçus par le plaignant L.________, qui les a donc réceptionnés avant de les lui remettre. Selon l’appelant, le prénommé se devait de réagir immédiatement, puisqu’il savait qu’il n’avait rien commandé, et devait les renvoyer à leur expéditeur. En les conservant malgré tout et en les remettant à l’appelant, le plaignant devait s’attendre à courir le risque de devoir payer les objets reçus. Pour l’appelant, il serait ainsi exclu de retenir la tentative d’escroquerie au préjudice du plaignant L.________, qui ne pouvait plus être une dupe, ni avoir été astucieusement floué.</w:t>
      </w:r>
    </w:p>
    <w:p>
      <w:r>
        <w:t>- 19 -</w:t>
      </w:r>
    </w:p>
    <w:p>
      <w:r>
        <w:rPr>
          <w:b/>
        </w:rPr>
        <w:t>E. 5.2</w:t>
      </w:r>
    </w:p>
    <w:p>
      <w:r>
        <w:t>En vertu de l'art. 146 al. 1 CP, dans sa teneur en vigueur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 ATF 142 IV 153 consid. 2.2.2).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Ainsi, n'importe quelle négligence de sa part ne suffit pas à exclure l'astuce (ATF 126 IV 165 consid. 2a). Il n'est donc pas nécessaire que la dupe soit exempte de la moindre faute (TF 6B_212/2024 du 10 mars 2025 consid. 1.2 et les références citées).</w:t>
      </w:r>
    </w:p>
    <w:p>
      <w:r>
        <w:t>- 20 - La tromperie astucieuse doit amener la dupe, dans l’erreur, à accomplir un acte préjudiciable à ses intérêts pécuniaires ou à ceux d’un tiers. La dupe doit conserver une certaine liberté de choix. L’erreur créée ou confortée par la tromperie doit motiver l’acte. L’escroquerie ne sera consommée que s’il y a un dommage (TF 7B_104/2023 du 13 janvier 2025 consid. 3.1.4 et 3.1.5).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consid. 5 ; ATF 134 IV 210 consid. 5.3 p. 213 s. ; TF 6B_212/2024 précité consid. 1.2).</w:t>
      </w:r>
    </w:p>
    <w:p>
      <w:r>
        <w:rPr>
          <w:b/>
        </w:rPr>
        <w:t>E. 5.3.1</w:t>
      </w:r>
    </w:p>
    <w:p>
      <w:r>
        <w:t>Les premiers juges ont rappelé que les commandes avaient été passées au nom et à l’adresse de L.________, alors que l’appelant séjournait provisoirement chez lui mais que, selon les déclarations du plaignant, il savait qu’il devait quitter l’appartement peu après. Ils ont relevé les contradictions entre les propos de l’appelant et ses propres échanges de messages WhatsApp avec le plaignant. Par ailleurs, au vu des faits qui lui étaient reprochés sous cas 3 de l’acte d’accusation, son talent pour créer un montage astucieux afin d’obtenir indûment une prestation était indéniable. Les premiers juges ont considéré que lorsqu’il a remis, de bonne foi, les colis à l’appelant, L.________ ne pouvait aucunement s’attendre à avoir été victime de commandes faites à son nom, à dessein et sans intention de les payer, par son sous-locataire. Toutefois, dans la mesure où le plaignant n’avait rien dû payer pour ces commandes, l’infraction n’était réalisée qu’au stade de la tentative.</w:t>
      </w:r>
    </w:p>
    <w:p>
      <w:r>
        <w:rPr>
          <w:b/>
        </w:rPr>
        <w:t>E. 5.3.2</w:t>
      </w:r>
    </w:p>
    <w:p>
      <w:r>
        <w:t>A la lecture de la plainte pénale déposée par L.________ (PV aud. 4), il en ressort que le plaignant a sous-loué son appartement à l’appelant pour une durée d’un mois, soit jusqu’au 1er mars 2021. A son</w:t>
      </w:r>
    </w:p>
    <w:p>
      <w:r>
        <w:t>- 21 - retour, le plaignant a reçu deux recommandés de la Poste, afin qu’il retire deux colis [...]. Surpris, il est allé les retirer, puisqu’ils étaient à son nom, étant précisé qu’il n’avait jamais créé de compte auprès de [...]. Une fois les colis en sa possession, il a contacté l’appelant afin d’obtenir des explications. Celui-ci lui a alors déclaré qu’il avait bien commandé ces colis et qu’il avait mis le nom du plaignant sur la commande pour faciliter la livraison. Le plaignant l’a cru et n’a pas pensé que les colis allaient lui être facturés. Une fois ces explications obtenues, il a dit à l’appelant de venir les chercher à son domicile. Quelques semaines plus tard, il a reçu divers rappels de [...], puis a tenté en vain de contacter l’appelant, qui l’avait bloqué et ne lui a plus donné signe de vie. Si le plaignant n’a effectivement pas fait montre d’une très grande prudence, il faut relever qu’il n’était pas titulaire d’un compte [...] et n’utilisait donc manifestement pas ce service. Il a reçu une explication crédible et plausible de la part de l’appelant, qui l’a faussement rassuré en lui indiquant n’avoir utilisé son nom que comme adresse de livraison, étant relevé que l’intéressé n’était que sous-locataire de l’appartement pour une durée très brève de sorte que son nom n’était pas nécessairement inscrit sur les boîtes à lait. Le plaignant, de bonne foi, ne pouvait ainsi pas forcément imaginer qu’au-delà d’une adresse de livraison, un compte client avait également été créé avec ses coordonnées et que celles-ci avaient été indiquées pour la facturation. On peut aussi concevoir que le plaignant – qui, on le rappelle, n’était pas client de la société – ignorait que [...] n’exige pas de paiement préalable. On ne saurait en outre lui reprocher de ne pas avoir ouvert les colis litigieux, ce qui lui aurait sans doute permis de découvrir que les factures étaient adressées à son nom, dans la mesure où il savait n’avoir rien commandé et qu’il a immédiatement compris à qui ils étaient destinés. D’ailleurs, l’appelant comptait manifestement sur le fait que le plaignant n’ouvrirait pas les colis et ne réaliserait qu’après les lui avoir remis qu’un compte et une adresse de facturation avaient été créés avec ses coordonnées, puisqu’une fois en possession de la marchandise, il a bloqué le plaignant et ne lui a plus donné signe de vie. Les faits sont donc établis et doivent être retenus tels que décrits dans l’acte d’accusation.</w:t>
      </w:r>
    </w:p>
    <w:p>
      <w:r>
        <w:t>- 22 - Les premiers juges ont retenu que l’infraction d’escroquerie à l’égard du plaignant L.________ n’était réalisée qu’au stade de la tentative. Quand bien même le prénommé n’a subi aucun dommage, la tromperie dont il a été victime l’a conduit à remettre les colis à l’appelant et, ce faisant, à léser la société [...] par cet acte, puisqu’elle a dû supporter le coût de cette marchandise. L’escroquerie est ainsi consommée, la victime ayant été déterminée à des actes préjudiciables aux intérêts d’un tiers, soit [...]. L’interdiction de la reformatio in pejus empêche néanmoins l’autorité de céans de réformer le jugement sur ce point, de sorte que la condamnation de l’appelant pour tentative d’escroquerie au sens de l’art. 146 al. 1 cum 22 al. 1 aCP sera confirmée.</w:t>
      </w:r>
    </w:p>
    <w:p>
      <w:r>
        <w:rPr>
          <w:b/>
        </w:rPr>
        <w:t>E. 6.1</w:t>
      </w:r>
    </w:p>
    <w:p>
      <w:r>
        <w:t>L’appelant se prévaut du principe de la présomption d’innocence et conteste sa condamnation pour lésions corporelles simples à raison des faits décrits sous cas 4 de l’acte d’accusation (cf. ch. 2.4 ci- dessus). Il relève – comme pour le cas 5 dont il sera question ci-après (cf. consid. 7 ci-dessous) – qu’ils se sont déroulés tard dans la nuit, ou plus exactement tôt le matin, alors que les esprits de tous les participants, plaignants et prévenus, étaient échauffés et surtout lourdement embrumés par les vapeurs d’alcool. Selon lui, ces faits sont survenus dans des circonstances peu claires, discutables et discutées par chacun des participants, dans un contexte qu’il qualifie de « bagarre générale », éventuellement de rixe, infraction qui n’a cependant pas été retenue par l’accusation, pas même à l’ouverture des débats. Il rappelle que le plaignant J.________ n’a jamais été en mesure de le reconnaître comme l’un de ses agresseurs et soutient que les juges ne pouvaient se fonder sur les déclarations de personnes sous l’emprise de l’alcool et surtout sans plus de souvenirs précis, pour décrire ce qui s’était passé dans une « bagarre générale de rue » et pour retenir la responsabilité de l’appelant, qui l’a toujours contestée. Dans ces conditions, on ne saurait exclure que le coup donné à J.________ soit le fait d’autres intervenants dans la bagarre, voire que les blessures dont il a souffert aient pu être causées par sa chute au sol, alors qu’il était ivre.</w:t>
      </w:r>
    </w:p>
    <w:p>
      <w:r>
        <w:t>- 23 -</w:t>
      </w:r>
    </w:p>
    <w:p>
      <w:r>
        <w:rPr>
          <w:b/>
        </w:rPr>
        <w:t>E. 6.2.1</w:t>
      </w:r>
    </w:p>
    <w:p>
      <w:r>
        <w:t>Les premiers juges ont considéré que les déclarations de l’appelant étaient incohérentes et invraisemblables au vu des différentes mises en cause, concordantes, dont il avait fait l’objet. Ils ont rappelé que le plaignant J.________ avait décrit précisément les faits et la personne qui l’avait frappé, déclarant que l’auteur du coup était « celui qui avait la peau la plus foncée » et le seul qui n’était pas revenu après les faits. Le témoin H.________ avait confirmé que l’appelant avait donné un coup de poing au visage de J.________ et que, selon ses souvenirs, il s’agissait du seul coup porté, précisant elle aussi que l’appelant avait ensuite quitté les lieux et qu’elle ne l’avait plus revu de la soirée (cf. dossier A, PV aud. 8, p. 2, R. 5). Quant à R.________, il avait confirmé que l’appelant avait mis « une sacrée patate » au plaignant, indiquant en outre qu’il avait dû prendre la fuite avant l’arrivée de la police (cf. dossier B, PV aud. 1, p. 3, R. 4). Le témoin M.________, de son côté, avait déclaré avoir vu le prévenu donner un coup de poing au plaignant, en précisant qu’en entendant la police arriver, l’appelant avait quitté les lieux ; il avait par ailleurs confirmé que le plaignant avait perdu la moitié d’une dent (cf. dossier B, PV aud. 2, p. 3, R. 4). Dans ces circonstances, les premiers juges ont considéré qu’il y avait lieu de retenir à la charge de l’appelant les faits qui lui étaient imputés sous cas 4 de l’acte d’accusation et de le reconnaître coupable de lésions corporelles simples.</w:t>
      </w:r>
    </w:p>
    <w:p>
      <w:r>
        <w:rPr>
          <w:b/>
        </w:rPr>
        <w:t>E. 6.2.2</w:t>
      </w:r>
    </w:p>
    <w:p>
      <w:r>
        <w:t>Cette appréciation ne prête pas le flanc à la critique et doit être confirmée. Les témoignages susmentionnés sont parfaitement clairs, nonobstant le contexte tendu et alcoolisé de la soirée. Les extraits relevés par les premiers juges sont probants. A nouveau, l’appelant n’a pas été inculpé par hasard, et le fait qu’il soit mis en cause pour un comportement parfaitement similaire au cas 5 dont il sera question ci-après (consid. 7 ci- dessous), est particulièrement parlant. On relèvera que le témoin H.________ était une amie de l’appelant, ou du moins faisait partie de son groupe. Il en va de même des témoins R.________ et M.________. Malgré</w:t>
      </w:r>
    </w:p>
    <w:p>
      <w:r>
        <w:t>- 24 - cela, ils mettent tous très clairement en cause l’appelant pour le coup de poing donné à J.________. Leurs témoignages sont très clairs et il n’y a pas de raison de ne pas les croire, étant relevé qu’après avoir frappé la victime, l’appelant a pris la fuite, ce qui n’est pas là le comportement d’un innocent. Compte tenu des éléments qui précèdent, il ne fait aucun doute que l’appelant est bien l’auteur du coup de poing infligé à J.________, les faits qui lui sont reprochés sous cas 4 de l’acte d’accusation étant établis à satisfaction de droit. Il convient donc de confirmer sa condamnation pour lésions corporelles simples au sens de l’art. 123 ch. 1 aCP, étant relevé que l’intéressé ne conteste pas, à juste titre, la qualification juridique des faits.</w:t>
      </w:r>
    </w:p>
    <w:p>
      <w:r>
        <w:rPr>
          <w:b/>
        </w:rPr>
        <w:t>E. 7.1</w:t>
      </w:r>
    </w:p>
    <w:p>
      <w:r>
        <w:t>L’appelant se prévaut, là aussi, de la présomption d’innocence et conteste sa condamnation pour lésions corporelles graves à raison des faits décrits sous cas 5 de l’acte d’accusation (cf. ch. 2.5 ci-dessus). Il relève, outre les éléments exposés ci-dessus (cf. consid. 6.1), qu’après avoir contesté les faits, son coprévenu D.________ a finalement admis, lors des débats, avoir porté un coup avec une bouteille à la tête du plaignant B.________, qui a chuté sur le sol en raison de la violence du choc. Les conséquences d’un tel acte suffiraient à expliquer les lésions dont a souffert le plaignant, sans que l’intervention de l’appelant change quoi que ce soit aux blessures subies. L’appelant soutient en outre que les aveux de dernière minute de D.________ ne sont pas probants, puisqu’ils sont intervenus ensuite d’un accord avec le Ministère public sur certains effets accessoires de la peine et que les éléments au dossier ne permettent pas de l’inculper.</w:t>
      </w:r>
    </w:p>
    <w:p>
      <w:r>
        <w:rPr>
          <w:b/>
        </w:rPr>
        <w:t>E. 7.2.1</w:t>
      </w:r>
    </w:p>
    <w:p>
      <w:r>
        <w:t>Le Tribunal correctionnel a retenu que lors de ses déclarations aux débats, D.________ avait formellement mis en cause son coprévenu pour avoir donné un coup de pied à la tête du plaignant et que c’était à nouveau contre l’évidence que l’appelant niait les faits. En effet, outre la</w:t>
      </w:r>
    </w:p>
    <w:p>
      <w:r>
        <w:t>- 25 - mise en cause de son coprévenu, il apparaissait que l’agent de sécurité V.________ avait témoigné de ce qu’un agresseur avait mis un coup de pied en pleine tête du plaignant B.________ alors que ce dernier était déjà à terre et inconscient, qu’il avait dû hurler sur l’auteur car il avait tenté de donner un deuxième coup de pied à la victime et qu’il avait dit à l’agresseur qu’il était fou et lui avait demandé s’il voulait tuer la victime, moment auquel l’auteur avait pris peur et pris la fuite. V.________ avait ensuite identifié l’appelant sur les planches photographiques qui lui avaient été présentées, en indiquant qu’il était quasi sûr de reconnaître l’individu qui avait donné un coup de pied au plaignant. D’ailleurs, les deux personnes identifiées par ce témoin comme étant les auteurs des coups successifs donnés à la victime, à savoir d’abord D.________ puis l’appelant, étaient également les deux personnes dont l’identité avait parallèlement été transmise à la police par la jeune fille qui les accompagnait ce soir-là. Au surplus, le témoin G.________ avait également identifié les deux prévenus pour avoir eu maille à partir avec le plaignant et s’être enfuis. Compte tenu de ces éléments, les premiers juges ont considéré que les faits étaient établis et, au vu des blessures présentées par le plaignant B.________ et des séquelles qu’il subissait toujours, il ne faisait aucun doute qu’il s’agissait de lésions corporelles graves.</w:t>
      </w:r>
    </w:p>
    <w:p>
      <w:r>
        <w:rPr>
          <w:b/>
        </w:rPr>
        <w:t>E. 7.2.2</w:t>
      </w:r>
    </w:p>
    <w:p>
      <w:r>
        <w:t>Cette appréciation ne prête là non plus pas le flanc à la critique et doit être confirmée. En effet, il est exact que D.________, après avoir longtemps contesté le coup de bouteille donné à la tête du plaignant, a finalement purement et simplement reconnu les faits qui lui sont imputés et qu’il n’a pas contesté – à juste titre – leur qualification juridique. Il n’a au demeurant pas remis en cause les différentes lésions physiques et psychiques subies par la victime. Contrairement à ce que semble penser l’appelant, D.________ n’avait aucun intérêt à l’accabler ou à l’accuser à tort, dans la mesure où il lui était reproché un acte bien déterminé et distinct de celui de son coaccusé. D’ailleurs, les déclarations de D.________ sont modérées à l’égard de l’appelant et il n’a pas cherché à se dédouaner, puisqu’il a expliqué que ce dernier l’a certainement « suivi</w:t>
      </w:r>
    </w:p>
    <w:p>
      <w:r>
        <w:t>- 26 - dans l’acte d’agression », peut-être parce qu’ils étaient amis. Il n’y a donc pas lieu d’ignorer la mise en cause de l’appelant pour le coup de pied porté à la tête de B.________, faite par D.________. Outre cette déposition et comme l’ont relevé les premiers juges, il apparaît que l’appelant est mis en cause par des témoins objectifs de la scène, présents le soir en question, soit l’agent de sécurité V.________ (cf. dossier C, PV aud. 2, pp. 2 et 3, R. 5 et 6), la jeune fille qui accompagnait les coprévenus ce soir-là et G.________ (cf. dossier A, PV aud. 6, p. 4, R. 6). L’appelant a en outre pris la fuite après les faits, attitude qui n’est, là encore, pas cohérente en tant qu’il prétend qu’il n’a rien fait et qu’il était en train de discuter avec les agents de sécurité lors de l’agression. Par ailleurs, ses déclarations ont fortement varié en cours d’enquête, sans être crédibles, puisqu’il ne donne aucune explication sur le coup de pied porté à la tête de la victime, respectivement sur les témoignages qui l’ont attesté. Enfin, on rappellera que l’appelant est un habitué des sorties d’établissement public mouvementées et alcoolisées, comme le démontrent les faits retenus à son encontre sous cas 4 de l’acte d’accusation. Au vu des éléments qui précèdent, les faits sont parfaitement établis et l’implication de l’appelant dans l’agression de B.________, respectivement le coup de pied qu’il lui a donné, ne font aucun doute. Compte tenu des blessures présentées par la victime et des séquelles particulièrement lourdes qu’elle subit encore aujourd’hui, il ne fait aucun doute qu’il s’agit de lésions corporelles graves, étant ici relevé que l’appelant ne conteste pas – à juste titre – cette qualification juridique. Sa condamnation sera donc confirmée sur ce point également.</w:t>
      </w:r>
    </w:p>
    <w:p>
      <w:r>
        <w:rPr>
          <w:b/>
        </w:rPr>
        <w:t>E. 8.1</w:t>
      </w:r>
    </w:p>
    <w:p>
      <w:r>
        <w:t>L’appelant conteste la peine qui lui a été infligée. Il requiert, principalement, qu’une peine pécuniaire soit prononcée à son encontre et, subsidiairement, le prononcé d’une peine clémente, quoi qu’il en soit assortie d’un sursis complet et exempt de règle de conduite.</w:t>
      </w:r>
    </w:p>
    <w:p>
      <w:r>
        <w:t>- 27 -</w:t>
      </w:r>
    </w:p>
    <w:p>
      <w:r>
        <w:rPr>
          <w:b/>
        </w:rPr>
        <w:t>E. 8.2.1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w:t>
      </w:r>
    </w:p>
    <w:p>
      <w:r>
        <w:t>- 28 - (ATF 147 IV 241 précité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w:t>
      </w:r>
    </w:p>
    <w:p>
      <w:r>
        <w:rPr>
          <w:b/>
        </w:rPr>
        <w:t>E. 8.2.3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w:t>
      </w:r>
    </w:p>
    <w:p>
      <w:r>
        <w:t>- 29 -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 9 juin 2022 consid. 5.9.1 ; TF 6B_1175/2021 précité). En cas de sursis partiel, le juge doit fixer en proportion adéquate la partie de la peine à exécuter et la partie de la peine avec sursis. Pour fixer dans le cadre légal la durée de la partie ferme et avec sursis de la peine, le juge dispose d’un large pouvoir d’appréciation. A titre de critère de cette appréciation, il y a lieu de tenir compte de façon</w:t>
      </w:r>
    </w:p>
    <w:p>
      <w:r>
        <w:t>- 30 -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 ATF 134 IV 60 consid. 7.4 ; TF 6B_906/2019 du 7 mai 2020 consid. 2.1). Selon l'art. 44 al. 2 CP, le juge qui suspend l'exécution de la peine peut ordonner une assistance de probation et imposer des règles de conduite pour la durée du délai d'épreuve. L’art. 94 CP prévoit que les règles de conduite portent en particulier sur l’activité professionnelle du condamné, sur son lieu de séjour, sur la conduite de véhicules à moteur, sur la réparation du dommage ainsi que sur les soins médicaux et psychologiques. L’art. 44 al. 2 CP donne au juge, lorsqu'il octroie le sursis, la faculté de fixer, pour la durée du délai d'épreuve, une règle de conduite adaptée au but du sursis, qui est l'amendement durable du condamné. Selon la jurisprudence, la règle de conduite ne doit pas avoir un rôle exclusivement punitif et son but ne saurait être de porter préjudice au condamné. Elle doit être conçue en premier lieu dans l'intérêt du condamné et de manière à ce qu'il puisse la respecter. Elle doit par ailleurs avoir un effet éducatif limitant le danger de récidive (ATF 130 IV 1 consid. 2.1). Les règles de conduite imposées en même temps que le sursis et visant à prévenir un risque de récidive peuvent s'avérer déterminantes dans l'établissement du pronostic (ATF 128 IV 193 consid. 3c ; TF 6B_691/2020 du 26 juin 2020 consid. 1.1).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 S’il s’agit de la réparation du dommage, le juge doit faire en sorte que le condamné connaisse le montant exact et l’échéance des</w:t>
      </w:r>
    </w:p>
    <w:p>
      <w:r>
        <w:t>- 31 - acomptes exigés contre lui.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 TF 6B_142/2016 du 14 décembre 2016 consid. 8.1 et les références citées).</w:t>
      </w:r>
    </w:p>
    <w:p>
      <w:r>
        <w:rPr>
          <w:b/>
        </w:rPr>
        <w:t>E. 8.3.1</w:t>
      </w:r>
    </w:p>
    <w:p>
      <w:r>
        <w:t>Les premiers juges ont qualifié la culpabilité de l’appelant d’écrasante. Ils ont constaté que l’intéressé, qui répondait d’un concours d’infractions, avait multiplié, alors qu’il séjournait sans droit sur le territoire suisse, des actes illicites visant le patrimoine, respectivement l’intégrité physique de ses victimes, ces derniers actes étant d’une gravité hors du commun. C’est ainsi qu’en dernier lieu, il n’avait pas hésité à s’en prendre brutalement et avec une lâcheté totale à une victime sans défense, gisant inconsciente au sol, en lui donnant un coup de pied à la tête, et ce n’était que suite à l’intervention d’un tiers qu’il avait renoncé à lui en donner un autre. Au vu du comportement de l’appelant en cours d’enquête, lequel n’avait eu de cesse de multiplier les explications aussi contradictoires qu’invraisemblables et de nier les faits contre l’évidence, il apparaissait qu’il n’avait absolument pas pris conscience de ses actes. Pire, il semblait avoir été tenté d’inverser le fardeau des responsabilités. Son défaut à son jugement ne laissait rien augurer de bon non plus du point de vue d’un éventuel amendement. Les premiers juges ont ainsi considéré que seule une peine privative de liberté entrait en considération, dont la quotité devait être arrêtée à 24 mois, assortie d’un sursis partiel portant sur 18 mois, le délai d’épreuve étant fixé à 4 ans. Ils ont en outre imposé une règle de conduite à l’appelant, consistant à verser mensuellement le montant de 150 fr. au plaignant B.________, à titre d’acompte sur les prétentions civiles émises par ce dernier. Compte tenu notamment de ce régime, les premiers juges ont renoncé à fixer en sus une amende à titre de sanction immédiate.</w:t>
      </w:r>
    </w:p>
    <w:p>
      <w:r>
        <w:rPr>
          <w:b/>
        </w:rPr>
        <w:t>E. 8.3.2</w:t>
      </w:r>
    </w:p>
    <w:p>
      <w:r>
        <w:t>En l’espèce, à l’instar des premiers juges, il y a lieu de qualifier la culpabilité de l’appelant d’écrasante. Il a agi de manière lâche et</w:t>
      </w:r>
    </w:p>
    <w:p>
      <w:r>
        <w:t>- 32 - sournoise, en s’en prenant gratuitement à une victime hors d’état de se défendre ; il s’agit d’un manque particulier de scrupules. La violence dont fait montre l’appelant progresse de manière très inquiétante, étant rappelé que son ex-compagne a fait mention de violences conjugales subies. A charge, il y a encore lieu de retenir le concours d’infractions et l’existence d’une autre enquête pénale pendante à l’encontre de l’appelant. Celui-ci n'a par ailleurs exprimé aucun repentir, ni aucune prise de conscience. Bien au contraire, il n’a eu de cesse de contester l’évidence s’agissant des deux bagarres, et ce alors même que des témoins objectifs, et même les membres de son groupe d’amis, le mettaient clairement en cause. Son comportement durant l’enquête est déplorable ; il persiste, encore en appel, à rejeter la faute sur autrui ou à tenter de décrédibiliser les témoins en évoquant un contexte alcoolisé. En définitive, l’appelant n’assume rien, n’exprime aucun remord et n’a amorcé aucune réparation. Bien plus, il daigne ne pas se présenter à deux reprises aux débats, sans motifs valables. Compte tenu des éléments qui précèdent, toutes les infractions passibles de cette peine justifient le prononcé d’une peine privative de liberté pour détourner l’appelant d’autres délits. Les lésions corporelles graves, qui constituent sans conteste l’infraction la plus grave, justifient, à elles seules, le prononcé d’une peine privative de liberté de l’ordre de 24 mois augmentée, par les effets du concours, de 6 mois pour réprimer les lésions corporelles simples et de 6 mois pour sanctionner la tentative d’escroquerie. En définitive, une peine privative de liberté de 36 mois aurait paru adéquate. Néanmoins, dans la mesure où l'autorité de céans est tenue par le principe de l'interdiction de la reformatio in pejus, la peine privative de liberté, clémente, de 24 mois prononcée par les premiers juges sera confirmée. En application du même principe et nonobstant un pronostic qui ne peut qu’être défavorable, tant les chances d’amendement présentées par l’appelant semblent faibles, voire inexistantes, le sursis partiel prononcé sera confirmé, avec un délai d’épreuve de 4 ans.</w:t>
      </w:r>
    </w:p>
    <w:p>
      <w:r>
        <w:t>- 33 - Par ailleurs, afin de renforcer la prise de conscience – pour ne pas dire l’amorcer, étant donné qu’elle semble actuellement absente – et favoriser ainsi l’amendement, il sied de confirmer la règle de conduite prononcée par les premiers juges, à savoir le versement, à la victime, durant le délai d’épreuve, d’acomptes mensuels à valoir sur les prétentions civiles allouées. S’il est vrai que les premiers juges n’ont pas examiné dans le détail la situation personnelle et économique récente de l’appelant, cela est entièrement dû à sa faute et à son défaut. Il se sont dès lors naturellement fondés sur ses déclarations durant l’enquête, lesquelles n’ont pas pu être complétées, ni actualisées. Il en ressort que l’appelant a travaillé pour divers employeurs, d’abord de manière déclarée, puis au noir, dans les cantons de Vaud et de Genève. Il est jeune et rien n’indique qu’il ne serait pas capable de travailler, même si c’est à l’étranger. Il n’assume pas d’obligation de famille, la mère de son enfant, né en 2019, n’ayant plus eu de contact avec lui, à l’exception de messages de menaces que ce dernier lui aurait envoyés. On relèvera encore qu’alors qu’il vivait en Suisse, il disposait d’assez de ressources pour sortir en discothèque et au casino. Compte tenu de cette situation et du fait que l’appelant est en mesure de gagner sa vie même avec un emploi sans qualification, le montant de 150 fr. par mois paraît relativement modeste et doit pouvoir être assumé, sans sacrifice excessif, par l’intéressé, qui se trouve dans la force de l’âge.</w:t>
      </w:r>
    </w:p>
    <w:p>
      <w:r>
        <w:rPr>
          <w:b/>
        </w:rPr>
        <w:t>E. 9.1</w:t>
      </w:r>
    </w:p>
    <w:p>
      <w:r>
        <w:t>Dans le cadre de ses conclusions, l’appelant conteste son expulsion, sans toutefois motiver ce grief.</w:t>
      </w:r>
    </w:p>
    <w:p>
      <w:r>
        <w:rPr>
          <w:b/>
        </w:rPr>
        <w:t>E. 9.2.1</w:t>
      </w:r>
    </w:p>
    <w:p>
      <w:r>
        <w:t>Aux termes de l’art. 66a al. 1 let. b CP, le juge expulse de Suisse l'étranger qui est notamment condamné pour lésions corporelles graves (art. 122 CP), pour une durée de cinq à quinze ans, quelle que soit la quotité de la peine prononcée à son encontre.</w:t>
      </w:r>
    </w:p>
    <w:p>
      <w:r>
        <w:rPr>
          <w:b/>
        </w:rPr>
        <w:t>E. 9.2.2</w:t>
      </w:r>
    </w:p>
    <w:p>
      <w:r>
        <w:t>Selon l’art. 66a al. 2 CP, le juge peut exceptionnellement renoncer à une expulsion lorsque celle-ci mettrait l’étranger dans une</w:t>
      </w:r>
    </w:p>
    <w:p>
      <w:r>
        <w:t>- 34 -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149 IV 231 consid. 2.1.1 ; ATF 144 IV 332 consid. 3.3).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6B_1174/2021 du 21 juin 2022 consid. 3.2 ; TF 6B_215/2021 du 17 janvier 2022 consid. 5.1).</w:t>
      </w:r>
    </w:p>
    <w:p>
      <w:r>
        <w:rPr>
          <w:b/>
        </w:rPr>
        <w:t>E. 9.3</w:t>
      </w:r>
    </w:p>
    <w:p>
      <w:r>
        <w:t>La condamnation de l'appelant pour lésions corporelles graves au sens de l’art. 122 CP étant confirmée, il remplit les conditions d’une expulsion obligatoire (art. 66a al. 1 let. b CP), sous réserve d'une application de la clause de rigueur prévue à l'art. 66a al. 2 CP, qui n’entre toutefois pas en considération en l’espèce. En effet, il est arrivé en Suisse en 2016 à l’âge de 18 ans, au bénéfice d’un permis B valable du 27 avril 2016 au 1er février 2017. Depuis, il se trouve en situation irrégulière. Célibataire et inemployé, il s’était lié avec une compagne dont il a eu une fille, née vraisemblablement en 2019 mais avec laquelle il n’a plus de contact depuis la séparation du couple survenue au mois de novembre 2020, manifestement à la suite de violences conjugales. L’appelant n’a pas d’autre famille dans notre pays, ses parents et sa sœur vivant à l’Ile Maurice. Partant, compte tenu de son absence d’attaches particulières avec la Suisse et de la gravité de l’infraction commise, l’expulsion de l’appelant ne constitue pas une ingérence importante dans son droit au respect de sa vie privée et familiale tel que garanti par les art. 13 Cst. et 8 § 1 CEDH et ne le placera manifestement pas dans une situation personnelle grave au sens de l’art. 66a al. 2 CP, dès lors qu’il ne devrait rencontrer aucune difficulté à s’intégrer socialement et professionnellement dans son pays d’origine. Cette mesure apparaît donc proportionnée et l’intérêt public à son expulsion l’emporte sur un éventuel</w:t>
      </w:r>
    </w:p>
    <w:p>
      <w:r>
        <w:t>- 35 - intérêt privé à rester en Suisse. L’appel de X.________ doit ainsi être rejeté sur ce point également et son expulsion du territoire suisse pour une durée de dix ans, avec inscription de cette mesure au SIS, confirmée.</w:t>
      </w:r>
    </w:p>
    <w:p>
      <w:r>
        <w:rPr>
          <w:b/>
        </w:rPr>
        <w:t>E. 10</w:t>
      </w:r>
    </w:p>
    <w:p>
      <w:r>
        <w:t>En définitive, l’appel de X.________ doit être rejeté et le jugement entrepris intégralement confirmé. La liste des opérations produite par Me Michel Dupuis, qui a été relevé de son mandat de défenseur d’office de l’appelant le 26 février 2025, fait état de 7 heures et 24 minutes consacrées à la procédure d’appel, pour la période du 15 août 2024 au 24 février 2025. Il n’y a pas lieu de s’écarter du temps ainsi allégué de sorte que c’est une indemnité de 1'468 fr. 70 qui lui sera allouée, correspondant à 7 heures et 24 minutes d'activité d'avocat au tarif horaire de 180 fr. (art. 2 al. 1 let. a RAJ [règlement sur l’assistance judiciaire en matière civile du 7 décembre 2019 ; BLV 211.02.3], applicable par renvoi de l’art. 26b TFIP [tarif des frais de procédure et indemnités en matière pénale du 28 septembre 2010 ; BLV 312.03.1]), par 1’332 fr., à des débours forfaitaires à hauteur de 2 % des honoraires admis, soit 26 fr. 64 (art. 3bis al. 1 RAJ) et à un montant de 110 fr. 05 correspondant à la TVA au taux de 8,1 % sur le tout. Me Véronique Fontana, qui a été désignée en qualité de défenseur d’office de l’appelant à compter du 27 février 2025, a produit une liste de ses opérations faisant état de 11 heures d’activité au tarif d’avocat breveté. Il n’y a pas lieu de s’écarter du temps allégué, si ce n’est pour y ajouter 30 minutes afin de tenir compte de la durée des débats d’appel, et de réduire de 30 minutes le temps consacré aux opérations post-audience. En définitive, c’est une indemnité totale de 2'312 fr. 90 qui sera allouée à Me Véronique Fontana pour la procédure d’appel, correspondant à une activité d’avocat de 11 heures au tarif horaire de 180 fr., par 1’980 fr., à des débours forfaitaires à hauteur de 2 % des honoraires admis, soit 39 fr. 60, à une vacation à 120 fr. (art. 3bis al. 3 RAJ) et à un montant de 173 fr. 30 correspondant à la TVA au taux de 8,1 % sur le tout.</w:t>
      </w:r>
    </w:p>
    <w:p>
      <w:r>
        <w:t>- 36 - La liste des opérations produite par Me Coralie Germond, conseil d'office du plaignant B.________, fait état de 7 heures et 30 minutes d'activité d'avocat. Il n'y a pas lieu de s'écarter du temps ainsi allégué, si ce n'est pour y ajouter 30 minutes pour tenir compte de la durée des débats d'appel. C'est ainsi une indemnité de 1’717 fr. 50 qui sera allouée à Me Coralie Germond, correspondant à 8 heures d'activité d'avocat au tarif horaire de 180 fr., par 1’440 fr., à des débours forfaitaires à hauteur de 2 % des honoraires admis, soit 28 fr. 80, à une vacation à 120 fr. et à un montant de 128 fr. 70 correspondant à la TVA au taux de 8,1 % sur le tout. Vu l’issue de la cause, les frais de la procédure d’appel, constitués des émoluments de jugement, par 3’080 fr., et d’audience, par 400 fr. (art. 21 al. 1 et 2 TFIP), ainsi que des frais imputables à la défense d’office et à l’assistance gratuite, par 5'499 fr. 10 au total, seront mis à la charge de l’appelant, qui succombe. L’appelant sera tenu de rembourser à l’Etat de Vaud les indemnités mises à sa charge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