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PE21.017348 vom 16. November 2021</w:t>
      </w:r>
    </w:p>
    <w:p>
      <w:r>
        <w:t>VD Tribunal cantonal, 2021-11-16, FR</w:t>
      </w:r>
    </w:p>
    <w:p>
      <w:r>
        <w:rPr>
          <w:b/>
        </w:rPr>
        <w:t xml:space="preserve">Quelle: </w:t>
      </w:r>
      <w:r>
        <w:t>https://mcp.opencaselaw.ch/entscheid/vd_gerichte_PE21.017348</w:t>
      </w:r>
    </w:p>
    <w:p>
      <w:r>
        <w:t>FR: VD_GERICHTE PE21.017348 du 16 novembre 2021</w:t>
      </w:r>
    </w:p>
    <w:p>
      <w:r>
        <w:t>IT: VD_GERICHTE PE21.017348 del 16 novembre 2021</w:t>
      </w:r>
    </w:p>
    <w:p>
      <w:pPr>
        <w:pStyle w:val="Heading2"/>
      </w:pPr>
      <w:r>
        <w:t>Volltext</w:t>
      </w:r>
    </w:p>
    <w:p>
      <w:r>
        <w:t>TRIBUNAL CANTONAL 1043 PE21.017348-MNU CHAMBRE DE S RECO URS PEN ALE __________________________________________ Arrêt du 16 novembre 2021 __________________ Composition : M. PERROT, président M. Meylan et Mme Byrde, juges Greffière : Mme Choukroun ***** Art. 173, 174 CP ; 310 CPP Statuant sur le recours interjeté le 26 octobre 2021 par X.________ contre l’ordonnance de non-entrée en matière rendue le 12 octobre 2021 par le Ministère public de l’arrondissement de La Côte dans la cause n° PE21.017348-MNU, la Chambre des recours pénale considère : En fait : A. a) X.________ est administrateur avec signature individuelle de la société B.________, [...] à [...]. Cette société a pour but notamment le commerce en matière de véhicules automobiles, de pièces se rapportant à 351</w:t>
      </w:r>
    </w:p>
    <w:p>
      <w:r>
        <w:t>- 2 - l’automobile et l'exploitation d'ateliers de carrosserie, de mécanique et d’une station-service. M.________ et X.________ sont administrateurs avec signature collective à deux de S.________ dont le but est « la fabrication, l’achat, la vente et l’échange de voitures, moteurs, châssis et pièces détachées concernant l’automobile et en particulier les voitures de compétitions ; activités des garages. » (P. 6/3). M.________ est également administrateur de diverses autres sociétés, dont notamment [...] SA (P. 6/4). b) Un litige civil divise les parties en rapport avec le rachat, par B.________ de la totalité des actions de S.________, pour un montant approximatif de 650'000 francs. En effet, en juillet 2021 X.________ a invalidé ce rachat et a démissionné de ses fonctions d’administrateur de S.________. M.________ s’est opposé à cette invalidation. Afin de trouver une solution amiable à ce litige, les parties ont échangé – par le biais de leurs conseils respectifs – plusieurs courriers. c) Par courrier du 4 octobre 2021 adressé au conseil de X.________, M.________ a, par l’intermédiaire de son conseil, écrit ce qui suit : « (…) Monsieur M.________ m’indique que B.________, votre mandat ou l’un de ses acolytes, a utilisé à diverses reprises ses cartes de crédit, à son insu et sans son accord. Vous n’êtes pas sans savoir que ces faits sont constitutifs d’infractions pénales. (…) » (P. 6/5). B. a) Le 6 octobre 2021, X.________ a déposé plainte pénale contre M.________ pour calomnie ou diffamation et s’est constitué partie civile (P. 4). b) Par ordonnance du 12 octobre 2021, le Ministère public de l’arrondissement de La Côte a refusé d’entrer en matière sur la plainte de X.________ (I) et a laissé les frais de la cause à la charge de l’Etat (II). La procureure a considéré que les propos litigieux s’inscrivaient dans le contexte du litige civil qui divise les parties. Elle a</w:t>
      </w:r>
    </w:p>
    <w:p>
      <w:r>
        <w:t>- 3 - estimé qu’en s’adressant à son avocat, M.________ avait uniquement émis des suspicions au sens large, prenant la peine de mentionner qu’il pourrait s’agir d’un employé de la société B.________, voire de X.________. Selon la magistrate, en tenant de tels propos auprès de son conseil, M.________ n’avait pas une intention claire et indéniable de porter atteinte à l’honneur de X.________. Partant, elle a conclu que les éléments constitutifs des articles 173 et 174 CP n’étaient pas réalisés. C. Par acte du 26 octobre 2021 (date du timbre postal), X.________ a recouru auprès de la Chambre de céans contre cette ordonnance, en concluant, sous suite de frais et dépens, à son annulation et au renvoi de la cause au Ministère public pour qu’il ouvre une instruction pénale. Il a en outre produit un bordereau de pièces (P. 6/1). Le 12 novembre 2021, dans le délai imparti en application de l’art. 390 al. 2 CPP (Code de procédure pénale suisse du 5 octobre 2007 ; RS 312.0), le Ministère public a indiqué qu’il renonçait à se déterminer sur le recours et qu’il se référait intégralement aux considérants de l’ordonnance entreprise, concluant au rejet du recours.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w:t>
      </w:r>
    </w:p>
    <w:p>
      <w:r>
        <w:t>- 4 - plaignante qui a qualité pour recourir (art. 382 al. 1 CPP), le recours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Le recourant reproche au Ministère public d’avoir considéré que les éléments constitutifs de l’infraction de calomnie, subsidiairement de diffamation, n’étaient pas réalisés en l’espèce. Il fait valoir que le courrier litigieux serait attentatoire à son honneur dès lors qu’il jetterait sur lui le soupçon d’avoir utilisé sans droit les cartes de crédit de l’intimé. 3.2</w:t>
      </w:r>
    </w:p>
    <w:p>
      <w:r>
        <w:t>- 5 - 3.2.1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deux dispositions protègent la réputation d'être une personne honorable, c'est-à-dire de se comporter comme une personne digne a coutume de le faire selon les conceptions généralement reçues.</w:t>
      </w:r>
    </w:p>
    <w:p>
      <w:r>
        <w:t>- 6 -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précité).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précité consid. 2.1.3 ; ATF 133 IV 308 consid. 8.5.1 ; TF 6B_1268/2019 précité ; TF 6B_512/2017 du 12 février 2018 consid. 3.1). 3.2.2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w:t>
      </w:r>
    </w:p>
    <w:p>
      <w:r>
        <w:t>- 7 - telles de simples suppositions (TF 6B_1254/2019 du 16 mars 2020 consid. 7.1 et les références citées). 3.2.3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2e éd., Bâle 2017,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précité). Il faut se placer exclusivement sur les éléments dont il avait connaissance à l’époque de sa déclaration (ibid.).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6B_1126/2020 du 10 juin 2021 consid. 3.1 : TF 6B_1268/2019 précité). 3.3 En l’espèce, les arguments du recourant sont bien fondés. Les propos incriminés reviennent en effet à accuser celui-ci d’avoir commis une ou plusieurs infractions pénales. Or, selon la jurisprudence (cf. supra consid. 3.2.1), de telles accusations sont diffamatoires. Le fait que les parties soient en litige devant le juge civil dans le cadre d’une vente d’actions ne saurait être un fait justificatif au sens de l’‘art. 14 CP ; du reste, on ne saisit pas le rapport qu’il pourrait y avoir avec l’invalidation d’un contrat de vente d’actions et les accusations portées à l’encontre du recourant, relatives à une utilisation indue de cartes de crédit de l’intimé.</w:t>
      </w:r>
    </w:p>
    <w:p>
      <w:r>
        <w:t>- 8 - On ne saurait dès lors considérer que les propos en cause étaient dans les limites des déclarations nécessaires et pertinentes à émettre dans le cadre du procès civil. Quant à l’affirmation selon laquelle le prévenu aurait présenté comme telles de simples suspicions, elle est contredite par le texte même des propos, qui est on ne peut plus affirmatif. Au vu de ce qui précède, c’est à tort que le Ministère public n’est pas entré en matière sur la plainte de X.________. Il conviendra dès lors que le Ministère public ouvre une instruction, qu’il entende l’auteur du courrier et détermine si celui-ci peut, le cas échéant, être admis à faire la preuve de la vérité ou de sa bonne foi. 4. Il résulte de ce qui précède que le recours doit être admis et l’ordonnance attaquée annulée. Le dossier de la cause sera renvoyé au Ministère public pour qu’il ouvre une instruction pénale et procède dans le sens des considérants.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Le recourant, qui a procédé avec l’assistance d’un avocat de choix et qui a obtenu gain de cause, a droit, de la part de l’Etat, à une indemnité pour les dépenses occasionnées par la procédure de recours. Cette indemnité sera fixée à 1’200 fr. (correspondant à quatre heures d’activité nécessaires d’avocat au tarif horaire de 300 fr.), montant auquel il convient d’ajouter des débours forfaitaires à concurrence de 2 % des honoraires admis, par 24 fr., plus la TVA au taux de 7,7 %, par 94 fr. 25, soit à 1’318 fr. au total en chiffre arrondis.</w:t>
      </w:r>
    </w:p>
    <w:p>
      <w:r>
        <w:t>- 9 - Par ces motifs, la Chambre des recours pénale prononce : I. Le recours est admis. II. L’ordonnance du 12 octobre 2021 est annulée. III. Le dossier de la cause est renvoyé au Ministère public de l’arrondissement de La Côte pour qu’il procède dans le sens des considérants. IV. Les frais d’arrêt, par 880 fr. (huit cent huitante francs), sont laissés à la charge de l’Etat. V. Une indemnité de 1'318 fr. (mille trois cent dix-huit francs) est allouée à X.________ pour la procédure de recours, à la charge de l’Etat. VI. L’arrêt est exécutoire. Le président : La greffière : Du Le présent arrêt, dont la rédaction a été approuvée à huis clos, est notifié, par l'envoi d'une copie complète, à : - Me Dalmat Pirat, avocat (pour X.________), - Ministère public central,</w:t>
      </w:r>
    </w:p>
    <w:p>
      <w:r>
        <w:t>- 10 -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