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PE21.017224 vom 2. Februar 2022</w:t>
      </w:r>
    </w:p>
    <w:p>
      <w:r>
        <w:t>VD Tribunal cantonal, 2022-02-02, FR</w:t>
      </w:r>
    </w:p>
    <w:p>
      <w:r>
        <w:rPr>
          <w:b/>
        </w:rPr>
        <w:t xml:space="preserve">Quelle: </w:t>
      </w:r>
      <w:r>
        <w:t>https://mcp.opencaselaw.ch/entscheid/vd_gerichte_PE21.017224</w:t>
      </w:r>
    </w:p>
    <w:p>
      <w:r>
        <w:t>FR: VD_GERICHTE PE21.017224 du 2 février 2022</w:t>
      </w:r>
    </w:p>
    <w:p>
      <w:r>
        <w:t>IT: VD_GERICHTE PE21.017224 del 2 febbraio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Aux termes de l’art. 110 al. 1 CPP, les parties peuvent déposer une requête écrite ou orale, les requêtes orales étant consignées au procès-verbal ; les requêtes écrites doivent être datées et signées.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Une signature manuscrite est donc une condition de validité d’un procédé écrit ; le vice est toutefois susceptible d’être réparé à la réquisition de l’autorité (cf. Bendani, in : Jeanneret et al. [éd.], Commentaire romand, Code de procédure pénale suisse, 2e éd. 2019 [ci-après : CR CPP], nn. 7 et</w:t>
      </w:r>
    </w:p>
    <w:p>
      <w:r>
        <w:t>- 4 - 8 ad art. 110 CPP). A défaut de signature, la direction de la procédure peut ainsi impartir un délai au recourant pour corriger le vice. Faute de réparation dans le délai imparti, il n’est pas entré en matière sur le recours (art. 110 al. 4 CPP ; ATF 142 I 10 consid. 2.4 ; CREP 25 août 2021/771 consid. 3.1 ; CREP 19 avril 2021/344 consid. 1).</w:t>
      </w:r>
    </w:p>
    <w:p>
      <w:r>
        <w:rPr>
          <w:b/>
        </w:rPr>
        <w:t>E. 1.3</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CR CPP, op. cit., n. 6 ad art. 383 CPP ; cf. art. 143 al. 3 CPC [Code de procédure civile du 19 décembre 2008 ; RS 272.0]).</w:t>
      </w:r>
    </w:p>
    <w:p>
      <w:r>
        <w:rPr>
          <w:b/>
        </w:rPr>
        <w:t>E. 2</w:t>
      </w:r>
    </w:p>
    <w:p>
      <w:r>
        <w:t>En l’espèce, le recourant, qui a retiré le pli recommandé contenant l’avis de la direction de la procédure le 13 janvier 2022, n’a pas donné suite à la demande de mise en conformité dans le délai fixé. Il n’a pas non plus procédé à la fourniture de sûretés dans le délai imparti. Faute de satisfaire aux exigences de la forme écrite et en l’absence de fourniture de sûretés, le recours doit être déclaré irrecevable.</w:t>
      </w:r>
    </w:p>
    <w:p>
      <w:r>
        <w:rPr>
          <w:b/>
        </w:rPr>
        <w:t>E. 3</w:t>
      </w:r>
    </w:p>
    <w:p>
      <w:r>
        <w:t>Les frais de la procédure de recours, constitués en l’espèce du seul émolument d'arrêt (art. 422 al. 1 CPP), par 550 fr. (art. 20 al. 1 TFIP [tarif des frais de procédure et indemnités en matière pénale du 28 septembre 2010 ; BLV 312.03.1]), seront laissés à la charge de l’Etat.</w:t>
      </w:r>
    </w:p>
    <w:p>
      <w:r>
        <w:t>- 5 - Par ces motifs, la Chambre des recours pénale prononce : I. Le recours est irrecevable. II. Les frais d’arrêt, par 550 fr., sont laissés à la charge de l’Etat. III. L’arrêt est exécutoire. Le président : La greffière : Du Le présent arrêt, dont la rédaction a été approuvée à huis clos, est notifié, par l'envoi d'une copie complète, à : - M. W.________, - Ministère public central, et communiqué à : - Mme la Procureure de l’arrondissement de Lausanne,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