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PE21.017178 vom 25. September 2023</w:t>
      </w:r>
    </w:p>
    <w:p>
      <w:r>
        <w:t>VD Tribunal cantonal, 2023-09-25, FR</w:t>
      </w:r>
    </w:p>
    <w:p>
      <w:r>
        <w:rPr>
          <w:b/>
        </w:rPr>
        <w:t xml:space="preserve">Quelle: </w:t>
      </w:r>
      <w:r>
        <w:t>https://mcp.opencaselaw.ch/entscheid/vd_gerichte_PE21.017178</w:t>
      </w:r>
    </w:p>
    <w:p>
      <w:r>
        <w:t>FR: VD_GERICHTE PE21.017178 du 25 septembre 2023</w:t>
      </w:r>
    </w:p>
    <w:p>
      <w:r>
        <w:t>IT: VD_GERICHTE PE21.017178 del 25 settembre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w:t>
      </w:r>
    </w:p>
    <w:p>
      <w:r>
        <w:t>- 5 -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Donatsch/Lieber/Summers/Wohlers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Kuhn/Jeanneret/Perrier Depeursinge [éd.], Commentaire romand, Code de procédure pénale suisse, 2e éd. 2019, n. 20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11 septembre 2020/694 consid. 4.3.1).</w:t>
      </w:r>
    </w:p>
    <w:p>
      <w:r>
        <w:t>- 6 -</w:t>
      </w:r>
    </w:p>
    <w:p>
      <w:r>
        <w:rPr>
          <w:b/>
        </w:rPr>
        <w:t>E. 1.3</w:t>
      </w:r>
    </w:p>
    <w:p>
      <w:r>
        <w:t>Déposé en temps utile et auprès de l’autorité compétente par une partie plaignante qui a qualité pour recourir (cf. art. 382 al. 1 CPP), et satisfaisant – pour un des griefs – aux exigences de forme prescrites, sous réserve de ce qui sera exposé aux considérants suivants en relation avec les exigences de forme déduites de l’art. 385 al. 1 CPP, le recours de X.________ est recevable.</w:t>
      </w:r>
    </w:p>
    <w:p>
      <w:r>
        <w:rPr>
          <w:b/>
        </w:rPr>
        <w:t>E. 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close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w:t>
      </w:r>
    </w:p>
    <w:p>
      <w:r>
        <w:t>- 7 - 141 IV 87 consid. 1.3.1 ; TF 6B_196/2020 du 14 octobre 2020 consid. 3.1). Dans le doute, lorsque les conditions d’une non-entrée en matière ne sont pas réalisées avec une certitude absolue, l’instruction doit être ouverte (ATF 143 IV 241 consid. 2.2.1 ; ATF 138 IV 86 consid. 4.1 ; ATF 137 IV 219 consid. 7 ; TF 6B_196/2020 du 14 octobre 2020 consid. 3.1).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du 14 octobre 2020 consid. 3.1).</w:t>
      </w:r>
    </w:p>
    <w:p>
      <w:r>
        <w:rPr>
          <w:b/>
        </w:rPr>
        <w:t>E. 3.1</w:t>
      </w:r>
    </w:p>
    <w:p>
      <w:r>
        <w:t>Le recourant se plaint d’abord d’une constatation erronée ou incomplète des faits et reproche au Ministère public de ne pas l’avoir entendu avant de rendre son ordonnance (cf. acte de recours lette A, pp. 1-2). Le droit d’être entendu, tel qu’il est garanti par l’art. 29 al. 2 Cst. (Constitution fédérale de la Confédération suisse du 18 avril 1999 ; RS 101), comprend notamment pour le justiciable le droit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6B_191/2021 du 11 août 2021 consid. 7.2.2 ; TF 6B_1007/2020 du 13 avril</w:t>
      </w:r>
    </w:p>
    <w:p>
      <w:r>
        <w:t>- 8 - 2021 consid. 2.3 ; TF 6B_290/2020 du 17 juillet 2020 consid. 2.2 et les références citées). En outre, avant de rendre une ordonnance de non- 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6B_89 du 2 juin 2022 consid. 2.2 et les réf. citées). Compte tenu de ce qui précède, le grief tiré de la violation du droit d’être entendu doit être rejeté, le droit de participer à l’administration des preuves n’existant pas au stade de la non-entrée en matière, soit avant l’ouverture formelle de l’instruction. Le recourant exerce son droit d’être entendu par le présent recours contre l’ordonnance de non-entrée en matière, dans la cadre duquel il peut faire valoir tous ses griefs. Quant au grief relatif à la constatation erronée ou incomplète des faits, il n’est pas exposé de manière claire et précise, le recourant se contentant d’invoquer ce moyen au motif que les enquêteurs auraient été « menés en bateau ». Il ne précise toutefois pas quels faits pertinents au regard de l’infraction de violation du secret de fonction – et non du caractère prétendument exagéré de ses notes de frais – auraient été incomplètement ou incorrectement établis. Le grief ne remplit pas les conditions posées par l’art. 385 al. 1 CPP et la jurisprudence y relative.</w:t>
      </w:r>
    </w:p>
    <w:p>
      <w:r>
        <w:rPr>
          <w:b/>
        </w:rPr>
        <w:t>E. 3.2</w:t>
      </w:r>
    </w:p>
    <w:p>
      <w:r>
        <w:t>Le recourant soutient que « la principale injustice résulte du fait que seules mes notes de frais (…) sont rendues publiques. » Il en veut pour preuve que la pratique de la Municipalité est de ne pas donner accès aux documents comptables. Il en déduit qu’il y aurait ainsi bel et bien une violation du secret de fonction (cf. acte de recours, p. 2).</w:t>
      </w:r>
    </w:p>
    <w:p>
      <w:r>
        <w:t>- 9 - Cet argument n’est pas pertinent, la violation du secret de fonction ne pouvant découler d’une simple pratique, mais des conditions posées par la loi. Or, le recourant n’essaie pas de démontrer que les normes légales appliquées par le Ministère public l’auraient été faussement. Le moyen, mal fondé, doit être rejeté dans la mesure où il est recevable.</w:t>
      </w:r>
    </w:p>
    <w:p>
      <w:r>
        <w:rPr>
          <w:b/>
        </w:rPr>
        <w:t>E. 3.3</w:t>
      </w:r>
    </w:p>
    <w:p>
      <w:r>
        <w:t>Le recourant conteste ensuite avoir facturé le montant de 8'298 fr. pour 100 heures de travail, indiquant n’avoir facturé que 8 heures pour la création d’un « classeur rouge ». Il affirme que le document litigieux serait un faux dans les titres au sens du droit pénal et considère que W.________ s’est rendu coupable de diffamation et de calomnie en l’accusant faussement d’avoir facturé 100 heures pour ce travail à la Municipalité (cf. acte de recours, pp. 3-4). Dans la mesure où la plainte déposée par X.________ ne portait que sur des faits relevant de l’infraction de violation du secret de fonction, et pas sur celles de faux dans les titres ou de diffamation, et que par conséquent l’enquête policière et l’ordonnance attaquée ne portent pas sur ces dernières infractions, ces arguments sont irrecevables.</w:t>
      </w:r>
    </w:p>
    <w:p>
      <w:r>
        <w:rPr>
          <w:b/>
        </w:rPr>
        <w:t>E. 3.4</w:t>
      </w:r>
    </w:p>
    <w:p>
      <w:r>
        <w:t>Le recourant soutient ensuite que la personne qui avait anonymement transmis à W.________ le décompte litigieux aurait commis un abus d’autorité (cf. acte de recours, p. 4). Sur ce point, il ne discute pas les arguments mentionnés dans l’ordonnance entreprise, à savoir que le décompte de frais/heures s’apparente à une pièce comptable de l'exercice écoulé dont la transmission interne à un conseiller communal ne réalise dans tous les cas pas le comportement typique exigé par l’article 320 CP (cf. consid. 3, pp. 8-10). Dans la mesure où le recourant se contente de procéder par affirmation, sans démontrer en quoi le raisonnement tenu par le Ministère public serait erroné, le moyen est irrecevable faute de répondre aux exigences de motivation de l’art. 385 al. 1 CPP rappelées plus haut (cf. consid. 1.2 supra).</w:t>
      </w:r>
    </w:p>
    <w:p>
      <w:r>
        <w:t>- 10 -</w:t>
      </w:r>
    </w:p>
    <w:p>
      <w:r>
        <w:rPr>
          <w:b/>
        </w:rPr>
        <w:t>E. 3.5</w:t>
      </w:r>
    </w:p>
    <w:p>
      <w:r>
        <w:t>Le recourant affirme enfin que l’on peut se demander si l’intervention de W.________ devant les conseillers municipaux peux tomber sous le coup des art. 173, 303 et 304 CP (cf. acte de recours, pp. 4-7). Ce qui a été dit plus haut au consid. 3.3 vaut ici. Ces faits n’ont pas été dénoncés dans la plainte et ne font pas l’objet de l’ordonnance attaquée. Ces arguments formulés sous forme de question sont irrecevables.</w:t>
      </w:r>
    </w:p>
    <w:p>
      <w:r>
        <w:rPr>
          <w:b/>
        </w:rPr>
        <w:t>E. 4</w:t>
      </w:r>
    </w:p>
    <w:p>
      <w:r>
        <w:t>En définitive, le recours de X.________, manifestement mal fondé, doit être rejeté dans la mesure où il est recevable, sans échange d’écritures (art. 390 al. 2 CPP), et l’ordonnance entreprise confirmée. Vu le sort du recours, les frais d’arrêt, constitués du seul émolument d’arrêt (cf. art. 422 al. 1 CPP), par 990 fr. (cf. art. 20 al. 1 TFIP [Tarif des frais de procédure et indemnités en matière pénale du 28 septembre 2010 ; BLV 312.03.1]), seront mis à la charge du recourant, qui succombe (art. 428 al. 1 CPP). Ces frais seront partiellement compensés avec le montant des sûretés de 550 fr. déjà versé par le recourant, le solde à sa charge s’élevant à 440 francs. Par ces motifs, la Chambre des recours pénale prononce : I. Le recours est rejeté dans la mesure où il est recevable. II. L’ordonnance du 21 mars 2023 est confirmée. III. Les frais d’arrêt, par 990 fr. (neuf cent nonante francs), sont mis à la charge de X.________.</w:t>
      </w:r>
    </w:p>
    <w:p>
      <w:r>
        <w:t>- 11 - IV. L’avance de frais de 550 fr. (cinq cent cinquante francs) versée par X.________ est imputée sur les frais mis à sa charge au chiffre III ci-dessus, le solde dû s’élevant à 440 fr. (quatre cent quarante francs). V. L’arrêt est exécutoire. La présidente : La greffière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