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PE21.017120 vom 21. Februar 2023</w:t>
      </w:r>
    </w:p>
    <w:p>
      <w:r>
        <w:t>VD Tribunal cantonal, 2023-02-21, FR</w:t>
      </w:r>
    </w:p>
    <w:p>
      <w:r>
        <w:rPr>
          <w:b/>
        </w:rPr>
        <w:t xml:space="preserve">Quelle: </w:t>
      </w:r>
      <w:r>
        <w:t>https://mcp.opencaselaw.ch/entscheid/vd_gerichte_PE21.017120</w:t>
      </w:r>
    </w:p>
    <w:p>
      <w:r>
        <w:t>FR: VD_GERICHTE PE21.017120 du 21 février 2023</w:t>
      </w:r>
    </w:p>
    <w:p>
      <w:r>
        <w:t>IT: VD_GERICHTE PE21.017120 del 21 febbraio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 doit être admis et l’ordonnance entreprise annulée.</w:t>
      </w:r>
    </w:p>
    <w:p>
      <w:r>
        <w:rPr>
          <w:b/>
        </w:rPr>
        <w:t>E. 3.1</w:t>
      </w:r>
    </w:p>
    <w:p>
      <w:r>
        <w:t>Au vu de la nature de l’affaire et du mémoire de recours déposé, l’indemnité due à Me Basile Couchepin, défenseur d’office de T.________, sera fixée à 540 fr., correspondant à trois heures d’activité nécessaire d’avocat au tarif horaire de 180 fr. (art. 2 al. 1 let. a et 3 al. 2 RAJ [Règlement du 7 décembre 2010 sur l'assistance judiciaire en matière civile ; BLV 211.02.3], applicable par renvoi de l’art. 26b TFIP [Tarif des frais de procédure et indemnités en matière pénale du 28 septembre 2010 ; BLV 312.03.1]), montant auquel il convient d’ajouter des débours forfaitaires à concurrence de 2 % des honoraires admis (art. 3bis al. 1 RAJ), par 10 fr. 80, et la TVA au taux de 7,7 %, par 42 fr. 40, soit à 594 fr. au total en chiffres arrondis. Quant à l’indemnité due à Me Myriam Bitschy, défenseur d’office de F.________, elle sera fixée, compte tenu des déterminations déposées, à 180 fr., correspondant à une activité nécessaire d’avocat d’une heure, montant auquel il convient d’ajouter des débours forfaitaires à concurrence de 2 % des honoraires admis (art. 3bis al. 1 RAJ), par 3 fr. 60, plus la TVA au taux de 7,7 %, par 14 fr. 15, soit à 198 fr. au total en chiffres arrondis.</w:t>
      </w:r>
    </w:p>
    <w:p>
      <w:r>
        <w:t>- 12 -</w:t>
      </w:r>
    </w:p>
    <w:p>
      <w:r>
        <w:rPr>
          <w:b/>
        </w:rPr>
        <w:t>E. 3.2</w:t>
      </w:r>
    </w:p>
    <w:p>
      <w:r>
        <w:t>Vu l’admission du recours, et dès lors que F.________ a conclu au rejet de celui-ci, une part des frais de procédure devrait être mise à sa charge en application de l’art. 428 al. 1 CPP. Toutefois, dans la mesure où les frais occasionnés par sa conclusion en rejet sont insignifiants, il sera renoncé à lui imputer une part de ceux-ci et à faire application de la clause de l’art. 135 al. 4 CPP. Les frais de la procédure, constitués de l’émolument d’arrêt, par 1'210 fr. (art. 20 al. 1 TFIP), ainsi que des indemnités allouées aux défenseurs d’office de T.________ et de F.________, fixées respectivement à 594 fr. et à 198 fr. (art. 422 al. 1 et 2 let. a CPP), seront dès lors laissés à la charge de l’Etat, en application de l’art. 428 al. 4 CPP. Par ces motifs, la Chambre des recours pénale prononce : I. Le recours est admis. II. L’ordonnance du 11 octobre 2022 est annulée. III. Une indemnité de 594 fr. (cinq cent nonante-quatre francs) est allouée à Me Basile Couchepin, défenseur d’office de T.________. IV. Une indemnité de 198 fr. (cent nonante-huit francs) est allouée à Me Myriam Bitschy, défenseur d’office de F.________. V. Les frais de la présente procédure, comprenant les frais d’arrêt, par 1’210 fr. (mille deux cent dix francs), ainsi que les frais imputables à l’assistance du défenseur d’office de T.________, par 594 fr. (cinq cent nonante-quatre francs), et du défenseur d’office de F.________, par 198 fr. (cent nonante-huit francs), sont laissés à la charge de l’Etat. VI. L’arrêt est exécutoire.</w:t>
      </w:r>
    </w:p>
    <w:p>
      <w:r>
        <w:t>- 13 - La présidente : La greffière : Du Le présent arrêt, dont la rédaction a été approuvée à huis clos, est notifié, par l'envoi d'une copie complète, à : - Me Basile Couchepin, avocat (pour T.________), - Me Myriam Bitschy, avocate (pour F.________), - Me Laurent Schuler, avocat (pour U.________), - Me François Gillard, avocat (pour D.C.________), - Me Pierre Charpié, avocat (pour E.________), - M. A.________, - M. N.________, - Ministère public central, et communiqué à : - Mme la Procureure cantonale Strada, - M. B.C.________, - J.________ AG, par l’envoi de photocopies.</w:t>
      </w:r>
    </w:p>
    <w:p>
      <w:r>
        <w:t>- 14 -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du 19 mars 2010 sur l’organisation des autorités pénales ; RS 173.71]). Ce recours doit être déposé devant le Tribunal pénal fédéral dans un délai de dix jours dès la notification de l’arrêt attaqué (art. 396 al. 1 CPP).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