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PE21.016981 vom 15. Dezember 2021</w:t>
      </w:r>
    </w:p>
    <w:p>
      <w:r>
        <w:t>VD Tribunal cantonal, 2021-12-15, FR</w:t>
      </w:r>
    </w:p>
    <w:p>
      <w:r>
        <w:rPr>
          <w:b/>
        </w:rPr>
        <w:t xml:space="preserve">Quelle: </w:t>
      </w:r>
      <w:r>
        <w:t>https://mcp.opencaselaw.ch/entscheid/vd_gerichte_PE21.016981</w:t>
      </w:r>
    </w:p>
    <w:p>
      <w:r>
        <w:t>FR: VD_GERICHTE PE21.016981 du 15 décembre 2021</w:t>
      </w:r>
    </w:p>
    <w:p>
      <w:r>
        <w:t>IT: VD_GERICHTE PE21.016981 del 15 dicembre 2021</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w:t>
      </w:r>
    </w:p>
    <w:p>
      <w:r>
        <w:t>; ATF 143 IV 168 consid. 5.1 ; ATF 139 IV 270 consid. 3.1 ; TF 1B_549/2021 du 21 octobre 2021 consid. 5.1).</w:t>
      </w:r>
    </w:p>
    <w:p>
      <w:r>
        <w:rPr>
          <w:b/>
        </w:rPr>
        <w:t>E. 3.1</w:t>
      </w:r>
    </w:p>
    <w:p>
      <w:r>
        <w:t>Le recourant ne conteste pas, à juste titre, l’existence de soupçons suffisants de culpabilité à son encontre, ni même celle d’un risque de fuite. Invoquant une violation du principe de la proportionnalité, il fait valoir qu’il serait un primo-délinquant et que son activité délictueuse serait unique et de peu de gravité, de sorte que la peine concrètement encourue serait une peine pécuniaire de 90 à 120 jours-amende. Il</w:t>
      </w:r>
    </w:p>
    <w:p>
      <w:r>
        <w:t>- 5 - soutient que dans ces circonstances, une détention provisoire d’une durée totale de quatre mois serait excessive.</w:t>
      </w:r>
    </w:p>
    <w:p>
      <w:r>
        <w:rPr>
          <w:b/>
        </w:rPr>
        <w:t>E. 3.2</w:t>
      </w:r>
    </w:p>
    <w:p>
      <w:r>
        <w:t>En vertu des art. 31 al. 3 Cst. (Constitution fédérale de la Confédération suisse du 18 avril 1999 ; RS 101) et 5 §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(ATF 145 IV 179 consid. 3.1, JdT 2020 IV</w:t>
      </w:r>
    </w:p>
    <w:p>
      <w:r>
        <w:rPr>
          <w:b/>
        </w:rPr>
        <w:t>E. 3.3</w:t>
      </w:r>
    </w:p>
    <w:p>
      <w:r>
        <w:t>En l’espèce, le recourant est prévenu de vol, dommages à la propriété, violation de domicile, faux dans les certificats et infractions à la LEI. La matérialité des faits est pour l’essentiel reconnue, hormis pour celle de dommages à la propriété, étant précisé que le recourant a affirmé qu’il croyait la maison abandonnée, qu’il y était entré poussé par la faim et par la nécessité de trouver un endroit où dormir, et qu’il avait potentiellement envisagé de dérober certains objets. Dès lors qu’il a été interpellé sur les lieux en possession d’argent et de divers objets et bijoux trouvés sur place, c’est à juste titre que le Tribunal des mesures de contrainte a retenu l’existence de soupçons suffisants de la commission de délits. C’est également à bon</w:t>
      </w:r>
    </w:p>
    <w:p>
      <w:r>
        <w:t>- 6 - escient que le premier juge a retenu l’existence d’un risque de fuite, le recourant, d’origine colombienne, étant sans statut de séjour en Suisse et sans aucune attache dans ce pays, où il est venu sous un faux nom. Contrairement à ce qu’affirme le recourant, on ne saurait retenir d’emblée qu’il ne pourrait faire l’objet que d’une peine pécuniaire, dont la quotité ne dépasserait au demeurant pas 90 à 120 jours-amende. Il appartiendra en effet au juge du fond de déterminer si, même en l’absence d’antécédents, une peine privative de liberté doit être prononcée, étant rappelé que le législateur a précisément réintroduit les courtes peines privatives de liberté au 1er janvier 2018 dans l’hypothèse où il y aurait lieu de craindre qu’une peine pécuniaire ne puisse pas être exécutée (art. 41 al. 1 let. b CP). Par ailleurs, compte tenu du concours d’infractions, et même si seule une tentative de vol était finalement retenue, il y a lieu de considérer que la durée de la détention provisoire que le recourant a subie à ce jour, respectivement qu’il aura subie le 30 janvier 2022, ne dépasse pas la peine à laquelle il doit s’attendre concrètement en cas de condamnation. Elle n’est enfin pas si proche de celle-ci qu’une libération doive être ordonnée à ce stade. Le principe de la proportionnalité demeure donc respecté, étant précisé qu’aucune mesure de substitution n’apparaît propre, en l’état, à contenir le risque retenu, le recourant n’en proposant au demeurant aucune.</w:t>
      </w:r>
    </w:p>
    <w:p>
      <w:r>
        <w:rPr>
          <w:b/>
        </w:rPr>
        <w:t>E. 4</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D.________ sera fixée à 360 fr., correspondant à une activité nécessaire d’avocat de deux heures au tarif horaire de 180 fr., montant auquel il convient d’ajouter des débours forfaitaires à concurrence de 2 % (art. 3bis al. 1 RAJ [règlement du</w:t>
      </w:r>
    </w:p>
    <w:p>
      <w:r>
        <w:rPr>
          <w:b/>
        </w:rPr>
        <w:t>E. 7</w:t>
      </w:r>
    </w:p>
    <w:p>
      <w:r>
        <w:t>décembre 2010 sur l'assistance judiciaire en matière civile ; BLV 211.02.3], applicable par renvoi de l’art. 26b TFIP [tarif des frais de procédure et indemnités en matière pénale du 28 septembre 2010 ;</w:t>
      </w:r>
    </w:p>
    <w:p>
      <w:r>
        <w:t>- 7 - BLV 312.03.1]), par 7 fr. 20, plus la TVA au taux de 7,7 %, par 28 fr. 25, soit à 396 fr. au total en chiffres arrondis. Vu le sort du recours, les frais de la procédure, constitués en l’espèce de l’émolument d'arrêt, par 770 fr. (art. 20 al. 1 TFIP), et des frais imputables à la défense d’office de D.________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30 novembre 2021 est confirmée. III. L’indemnité allouée au défenseur d’office de D.________ est fixée à 396 fr. (trois cent nonante-six francs). IV. Les frais d’arrêt, par 770 fr. (sept cent septante francs), ainsi que l’indemnité due au défenseur d’office du recourant, par 396 fr. (trois cent nonante-six francs), sont mis à la charge de D.________. V. Le remboursement à l’Etat de l’indemnité allouée au chiffre III ci-dessus ne sera exigible que pour autant que la situation financière de D.________ le permette.</w:t>
      </w:r>
    </w:p>
    <w:p>
      <w:r>
        <w:t>- 8 - VI. L’arrêt est exécutoire. Le président : La greffière : Du Le présent arrêt, dont la rédaction a été approuvée à huis clos, est notifié, par l'envoi d'une copie complète, à : - Me Raphaël Brochellaz, avocat (pour D.________, alias O.________), - Ministère public central, et communiqué à : - M. le Président du Tribunal des mesures de contrainte, - M. le Procureur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- 9 -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