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PE21.016810 vom 24. Januar 2024</w:t>
      </w:r>
    </w:p>
    <w:p>
      <w:r>
        <w:t>VD Tribunal cantonal, 2024-01-24, FR</w:t>
      </w:r>
    </w:p>
    <w:p>
      <w:r>
        <w:rPr>
          <w:b/>
        </w:rPr>
        <w:t xml:space="preserve">Quelle: </w:t>
      </w:r>
      <w:r>
        <w:t>https://mcp.opencaselaw.ch/entscheid/vd_gerichte_PE21.016810</w:t>
      </w:r>
    </w:p>
    <w:p>
      <w:r>
        <w:t>FR: VD_GERICHTE PE21.016810 du 24 janvier 2024</w:t>
      </w:r>
    </w:p>
    <w:p>
      <w:r>
        <w:t>IT: VD_GERICHTE PE21.016810 del 24 gennaio 2024</w:t>
      </w:r>
    </w:p>
    <w:p>
      <w:pPr>
        <w:pStyle w:val="Heading2"/>
      </w:pPr>
      <w:r>
        <w:t>Erwägungen</w:t>
      </w:r>
    </w:p>
    <w:p>
      <w:r>
        <w:rPr>
          <w:b/>
        </w:rPr>
        <w:t>E. 4</w:t>
      </w:r>
    </w:p>
    <w:p>
      <w:r>
        <w:t>L’appelant invoque une constatation incomplète ou erronée des faits et que c'était à tort qu’il avait été condamné du chef de l'art. 146 CP. Pour le condamner du chef d'escroquerie, il eut fallu qu'il participe intentionnellement et de manière déterminante à la décision, à la planification ou à la commission de cette infraction, cela dans une mesure qui le distingue du participant accessoire, mais tel n'était pas le cas. Il ressortait du rapport de police qu'il n'avait eu qu'un second rôle, dès lors qu'il s'était limité à mettre ses comptes à disposition de son épouse et à retirer de l'argent (P. 29 p. 119 ch. 4.3, 2ème §). L'escroquerie devait être considérée comme consommée au moment où « l'attaquant » retirait l'argent liquide aux guichet des banques en Europe avec le passeport falsifié. Elle était pleinement réalisée à ce stade et avant l'intervention des « money mules » dont le rôle était de mettre à disposition des relations bancaires dans le but de recevoir le produit des escroqueries. D'ailleurs il ignorait totalement quel type d'infractions préalables avaient été commises en France lorsque les transferts frauduleux avaient été effectués sur ses propres comptes bancaires (PV aud. 1 p. 5, PV aud. 8 I. 272, jgmt p. 6). Les activités illicites qui utilisaient des « money mules » étaient nombreuses et l'appelant ne pouvait pas se douter qu'il s'agissait d'escroquerie. A défaut de participation effective, l'appelant ne pouvait pas être condamné pour escroquerie.</w:t>
      </w:r>
    </w:p>
    <w:p>
      <w:r>
        <w:t>- 21 -</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op. cit., n. 19 ad art. 398 CPP et réf. cit.).</w:t>
      </w:r>
    </w:p>
    <w:p>
      <w:r>
        <w:rPr>
          <w:b/>
        </w:rPr>
        <w:t>E. 4.1.2</w:t>
      </w:r>
    </w:p>
    <w:p>
      <w:r>
        <w:t>L'art. 146 CP, qui réprime l'escroquerie, exige l'existence d'une tromperie astucieuse. Pour qu'il y ait escroquerie, une simple tromperie ne suffit donc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118 IV 359 consid. 2 ; Dupuis/Moreillon/Piguet/Berger/ Mazou/Rodigari [éd.], Petit commentaire CP, 2e éd., Bâle 2017, n. 15 ad art. 146 CP).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w:t>
      </w:r>
    </w:p>
    <w:p>
      <w:r>
        <w:t>- 22 -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confirmé notamment par TF 6B_943/2021 du 2 février 2022 consid. 1.1 ; TF 6B_584/2018 du 30 août 2018 consid. 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142 IV 153 ;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3e éd.,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4.1.3</w:t>
      </w:r>
    </w:p>
    <w:p>
      <w:r>
        <w:t>Par opposition au complice, qui prête intentionnellement assistance à l'auteur pour commettre un crime ou un délit par une</w:t>
      </w:r>
    </w:p>
    <w:p>
      <w:r>
        <w:t>- 23 - participation accessoire (art. 25 CP [Code pénal suisse du 21 décembre 1937 ; RS 311.0]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6B_103512020 du 20 mai 2021 consid. 2.1.2). L'intérêt personnel dans la commission de l'infraction peut être un critère de distinction entre la complicité et la coaction : le complice se contente généralement d'une rémunération fixe pour ses services, alors que le coauteur, le plus souvent, est rétribué selon une participation au gain (Killias Martin/Kuhn André/Dongois Nathalie, Précis de droit pénal général, 4e éd., Berne 2016, p. 83).</w:t>
      </w:r>
    </w:p>
    <w:p>
      <w:r>
        <w:rPr>
          <w:b/>
        </w:rPr>
        <w:t>E. 4.2</w:t>
      </w:r>
    </w:p>
    <w:p>
      <w:r>
        <w:t>En l'espèce, si c'est bien « l’attaquant » qui retirait de l'argent au guichet et si, dans le schéma des escroqueries dites « Zairean Connection » tel que décrit par le rapport de police (P. 29), l'appelant ne participait pas aux prélèvements frauduleux ni ne connaissait les plaignants étrangers victimes du réseau, son rôle a été néanmoins</w:t>
      </w:r>
    </w:p>
    <w:p>
      <w:r>
        <w:t>- 24 - essentiel dans la chaîne délictueuse telle qu'elle a été construite. Certes, il n'a pas ferré les dupes et il semble ne pas s’être autant investi que son épouse dans ce trafic. Cependant, la mise à disposition d'un compte bancaire est un maillon indispensable à la commission de l'infraction. En effet, il n'était pas possible de dépouiller les victimes des montants déposés sur leurs comptes bancaires sans disposer d'un compte en banque sur lequel l'argent serait crédité, compte fourni par les « money mule ». Contrairement à ce que soutient l'appelant, il ne s'agit pas uniquement de blanchir l'argent après la commission de l'infraction dès lors que parfois les virements s'opéraient directement depuis les comptes des victimes. La mise à disposition de ce compte a permis la réalisation de l'escroquerie en en réceptionnant les fruits. Sans les « money mule », l'enrichissement n'était pas possible. Par ailleurs, l'appelant a admis percevoir des commissions, ce qui vient corroborer le fait qu'il était un « partnership » dans les escroqueries de la « Zairean Connection ». Enfin, à ce stade, l’appelant ne conteste plus l’infraction de blanchiment d’argent qualifié, ce dont on doit déduire qu’il admet que les fonds avaient une origine criminelle. Compte tenu de l’ensemble de ces éléments, on ne discerne aucune constatation erronée ou incomplète des faits. L’appelant est en outre bien coauteur des escroqueries commises. Les griefs, mal fondés, doivent être rejetés.</w:t>
      </w:r>
    </w:p>
    <w:p>
      <w:r>
        <w:rPr>
          <w:b/>
        </w:rPr>
        <w:t>E. 5</w:t>
      </w:r>
    </w:p>
    <w:p>
      <w:r>
        <w:t>L'appelant invoque une violation des art. 70 CP et 267 CPP. Il estime qu'une partie des objets séquestrés doit lui être restituée, notamment les actes notariaux originaux et copies qui se trouvent dans les différentes fourres énumérées à la fin de la liste, pour l'achat de terrains au Congo en 2018 et 2019. Ces terrains avaient été acquis bien avant la commission des infractions en 2021 et n'étaient pas le résultat d'une infraction.</w:t>
      </w:r>
    </w:p>
    <w:p>
      <w:r>
        <w:rPr>
          <w:b/>
        </w:rPr>
        <w:t>E. 5.1.1</w:t>
      </w:r>
    </w:p>
    <w:p>
      <w:r>
        <w:t>Aux termes de l'art. 70 CP, le juge prononce la confiscation des valeurs patrimoniales qui sont le résultat d'une infraction ou qui étaient destinées à décider ou à récompenser l'auteur d'une infraction, si elles ne</w:t>
      </w:r>
    </w:p>
    <w:p>
      <w:r>
        <w:t>- 25 -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 cit. ; ATF 141 IV 155 consid. 4.1). Selon la jurisprudence, les règles sur la confiscation doivent être appliquées de manière restrictive lorsque des tiers non enrichis sont concernés (TF 7B_17/2022 du 18 juillet 2023 consid. 2.1.3 ; TF 6B_1017/2022 du 7 juin 2023 consid. 7.1.2 ; TF 1B_343/2019 du 23 janvier 2020 consid. 4.1). L'esprit et le but de la confiscation excluent en effet que la mesure puisse porter préjudice à des valeurs acquises de bonne foi dans le cadre d'un acte juridique conforme à la loi (ATF 115 IV 175 consid. 2b/bb ; TF 7B_17/2022 précité consid. 2.1.3). Les conditions posées à l'art. 70 al. 2 CP - soit d'une part la bonne foi du tiers et d'autre part la contre- prestation adéquate ou la rigueur excessive d'une éventuelle confiscation ultérieure - sont cumulatives (TF 7B_17/2022 du 18 juillet 2023 consid. 2.1.3 ; TF 1B_623/2022 du 1er juin 2023 consid. 3.2.2).</w:t>
      </w:r>
    </w:p>
    <w:p>
      <w:r>
        <w:rPr>
          <w:b/>
        </w:rPr>
        <w:t>E. 5.2</w:t>
      </w:r>
    </w:p>
    <w:p>
      <w:r>
        <w:t>L'argument de l'appelant est vain dès lors que le séquestre est probatoire et indépendant de la question de savoir si les terrains en question sont le résultat d'une infraction.</w:t>
      </w:r>
    </w:p>
    <w:p>
      <w:r>
        <w:t>- 26 -</w:t>
      </w:r>
    </w:p>
    <w:p>
      <w:r>
        <w:rPr>
          <w:b/>
        </w:rPr>
        <w:t>E. 6</w:t>
      </w:r>
    </w:p>
    <w:p>
      <w:r>
        <w:t>L'appelant se plaint d'une violation de l'art. 71 CP. Il conteste le montant de la créance compensatrice retenue dans le jugement entrepris. Pour lui, les montants de 3'750 fr. en lien avec le virement du 7 mai 2021, celui de 3'866 fr. en lien avec le virement du 9 juin 2021 et celui de 12'500 fr. en lien avec le virement du 16 juin 2021 et encore de 3'311 fr. en lien avec le virement du 2 juillet 2021 n'étaient aucunement justifiés. Selon lui, ce serait donc un montant de 8'796 fr. 50 au maximum qui pourrait faire l'objet d'une créance compensatrice.</w:t>
      </w:r>
    </w:p>
    <w:p>
      <w:r>
        <w:rPr>
          <w:b/>
        </w:rPr>
        <w:t>E. 6.1</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consid. 4.2.4 ; ATF 140 IV 57 précité ; TF 1B_398/2022 du 13 décembre 2022 consid. 5.2). L’art. 71 al. 2 CP dispose que le juge peut renoncer totalement ou partiellement à la créance compensatrice s'il est à prévoir qu'elle ne serait pas recouvrable ou qu'elle entraverait la réinsertion de la personne concernée.</w:t>
      </w:r>
    </w:p>
    <w:p>
      <w:r>
        <w:t>- 27 -</w:t>
      </w:r>
    </w:p>
    <w:p>
      <w:r>
        <w:rPr>
          <w:b/>
        </w:rPr>
        <w:t>E. 6.2</w:t>
      </w:r>
    </w:p>
    <w:p>
      <w:r>
        <w:t>L'appelant soutient que quatre des montants retenus par les premiers juges pour fixer le montant de la créance compensatrice ne sont pas justifiés. Pour le montant de 3'750 fr., il explique que seule la moitié aurait dû être retenue. Or il s'agit bien d'un versement de B.Y.________ à son mari. On ne voit pas pour quel motif elle lui aurait versé l'entier des commissions dues si seule la moitié lui revenait. Quant au libellé du versement, soit « pour les factures », il n'est absolument pas déterminant s'agissant en réalité du produit d'une infraction, ce que le débiteur n'allait assurément pas mentionner. S'agissant des montants de 3'866 fr., 12'500 fr, et 3'311 fr, il s'agit chaque fois de la moitié des commissions perçues pour les opérations effectuées par le couple. L'appelant ne peut pas se dédouaner en expliquant ne pas avoir reçu de commission sur l'une ou l'autre des transactions. Il ne s'agit pas de procéder ici à une liquidation du régime matrimonial. Le couple a perçu des commissions et il convient qu'une créance compensatrice soit prononcée à concurrence du montant de celles-ci. Les deux conjoints sont coauteurs. Le fait de répartir celle-ci par moitié pour chacun des prévenus n'est pas critiquable. S'agissant encore du fait que l'art. 71 al. 2 CP devrait trouver application, on rappellera qu'il s'agit d'une norme potestative, qu'il n'est pas question de réinsertion et que rien n'indique que la situation patrimoniale de l'appelant, qui est salarié et qui est propriétaire de terrains à l'étranger, soit à ce point en péril qu'il n'y a pas de possibilité de recouvrement, ne serait-ce partiellement.</w:t>
      </w:r>
    </w:p>
    <w:p>
      <w:r>
        <w:rPr>
          <w:b/>
        </w:rPr>
        <w:t>E. 7</w:t>
      </w:r>
    </w:p>
    <w:p>
      <w:r>
        <w:t>L'appelant fait encore grief aux premiers juges d'avoir violé l'art. 47 CP. D'une part il devait être libéré de l'infraction d'escroquerie. D'autre part, le jugement ne tenait pas suffisamment compte du fait qu'il avait participé activement à l'instruction et n'avait pas inquiété les services de la police depuis 2021. L'écoulement du temps était également un élément à prendre en compte. Tout bien pesé, une peine privative de liberté de 12 mois était adéquate au vu des faits qui lui étaient finalement reprochés et des infractions finalement retenues.</w:t>
      </w:r>
    </w:p>
    <w:p>
      <w:r>
        <w:t>- 28 -</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7.2</w:t>
      </w:r>
    </w:p>
    <w:p>
      <w:r>
        <w:t>L'appelant n'étant pas libéré du chef d'escroquerie (cf. consid. 4 supra), il n'y a pas lieu de réduire sa peine pour ce motif. Par ailleurs, les éléments à décharge évoqués par l'appelant ont été intégrés à la pondération telle qu'elle a été effectuée par les premiers juges (cf. jgmt, pp. 39-40). En effet, ces derniers ont tenu compte du fait que l’appelant n'avait pas le lead sur les infractions au sein du couple, jouant un rôle secondaire par rapport à son épouse, mais qu'il avait quand même utilisé des stratégies criminelles en alternant les lieux de retrait, effectué des prélèvements pour un montant de plus de 200'000 fr., qu'il était déterminé en procédant à l'ouverture d'un nouveau compte après blocage, qu’il avait agi par appât du gain facile alors qu'il gagnait sa vie honnêtement, qu’il avait un casier judiciaire déjà bien fourni et qu’il avait récidivé pendant le délai d'épreuve. Le concours des infractions a également été retenu à charge. A décharge les premiers juges ont pris en considération que l’appelant avait admis les faits et</w:t>
      </w:r>
    </w:p>
    <w:p>
      <w:r>
        <w:t>- 29 - ont tenu compte de sa bonne insertion sociale et professionnelle. La peine de 18 mois, avec sursis pendant 4 ans paraît ainsi adéquate et doit être confirmée.</w:t>
      </w:r>
    </w:p>
    <w:p>
      <w:r>
        <w:rPr>
          <w:b/>
        </w:rPr>
        <w:t>E. 8</w:t>
      </w:r>
    </w:p>
    <w:p>
      <w:r>
        <w:t>L'appelant invoque finalement une violation de l'art. 46 al. 2 CP. Il soutient que, bien qu'il ait commis une infraction pendant le délai d'épreuve, l'ensemble des circonstances lui étaient particulièrement favorables et permettaient de penser qu'il ne commettrait pas d'autres infractions. Il n'avait commis aucune faute pendant les années qui avaient suivi la commission de la dernière infraction et sa personnalité s'était développée de manière positive. Il était bien intégré sur le plan professionnel et personnel et était désormais père de 4 enfants. Le nouveau délai d'épreuve de 4 ans suffirait à le dissuader de commettre de nouvelles infractions.</w:t>
      </w:r>
    </w:p>
    <w:p>
      <w:r>
        <w:rPr>
          <w:b/>
        </w:rPr>
        <w:t>E. 8.1</w:t>
      </w:r>
    </w:p>
    <w:p>
      <w:r>
        <w:t>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w:t>
      </w:r>
    </w:p>
    <w:p>
      <w:r>
        <w:t>- 30 -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8.2</w:t>
      </w:r>
    </w:p>
    <w:p>
      <w:r>
        <w:t>La nouvelle peine a été prononcée avec sursis. Si le délai d'épreuve est relativement long, l'appelant a démontré que l'existence d'un sursis ne le tenait pas éloigné de la commission d'une nouvelle infraction. Pour ces motifs, il faut confirmer la révocation du sursis qui lui avait été accordé le 25 août 2016 pour espérer un amendement, ce qui entraîne la condamnation au paiement de la peine pécuniaire de 40 jours- amende à 30 francs.</w:t>
      </w:r>
    </w:p>
    <w:p>
      <w:r>
        <w:rPr>
          <w:b/>
        </w:rPr>
        <w:t>E. 9</w:t>
      </w:r>
    </w:p>
    <w:p>
      <w:r>
        <w:t>En définitive, l’appel doit être rejeté et le jugement attaqué confirmé. Selon la liste d’opérations produite par Me Patricia Spack Isenrich, défenseure d’office d’A.Y.________, dont il n’y a pas lieu de s’écarter (P. 73), c’est une indemnité de 2’577 fr. 55, TVA et débours inclus, qui lui sera allouée pour la procédure d’appel. Les frais de la procédure d’appel, par 5’587 fr. 55, constitués de l’émolument de jugement, par 3'010 fr. (art. 21 al. 1 et 2 TFIP [tarif des frais de procédure et indemnités en matière pénale du 28 septembre 2010 ; BLV 312.03.1]), ainsi que de l’indemnité allouée à son défenseur d’office, par 2’577 fr. 55, seront mis à la charge d’A.Y.________, qui succombe (art. 428 al. 1 CPP). A.Y.________ sera tenu de rembourser à l’Etat l’indemnité due à sa défenseure d’office dès que sa situation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