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PE21.015886 vom 21. Dezember 2023</w:t>
      </w:r>
    </w:p>
    <w:p>
      <w:r>
        <w:t>VD Tribunal cantonal, 2023-12-21, FR</w:t>
      </w:r>
    </w:p>
    <w:p>
      <w:r>
        <w:rPr>
          <w:b/>
        </w:rPr>
        <w:t xml:space="preserve">Quelle: </w:t>
      </w:r>
      <w:r>
        <w:t>https://mcp.opencaselaw.ch/entscheid/vd_gerichte_PE21.015886</w:t>
      </w:r>
    </w:p>
    <w:p>
      <w:r>
        <w:t>FR: VD_GERICHTE PE21.015886 du 21 décembre 2023</w:t>
      </w:r>
    </w:p>
    <w:p>
      <w:r>
        <w:t>IT: VD_GERICHTE PE21.015886 del 21 dicembre 2023</w:t>
      </w:r>
    </w:p>
    <w:p>
      <w:pPr>
        <w:pStyle w:val="Heading2"/>
      </w:pPr>
      <w:r>
        <w:t>Erwägungen</w:t>
      </w:r>
    </w:p>
    <w:p>
      <w:r>
        <w:rPr>
          <w:b/>
        </w:rPr>
        <w:t>E. 4.1</w:t>
      </w:r>
    </w:p>
    <w:p>
      <w:r>
        <w:t>Concluant à son acquittement, l’appelant ne conteste pas en tant que telle la quotité de la peine. Celle-ci doit néanmoins être revue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- 21 -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w:t>
      </w:r>
    </w:p>
    <w:p>
      <w:r>
        <w:t>- 22 - de liberté et la peine pécuniaire ne sont pas des sanctions du même genre (ATF 144 IV 313 consid. 1.1 ; ATF 144 IV 217 consid. 2.2).</w:t>
      </w:r>
    </w:p>
    <w:p>
      <w:r>
        <w:rPr>
          <w:b/>
        </w:rPr>
        <w:t>E. 4.3</w:t>
      </w:r>
    </w:p>
    <w:p>
      <w:r>
        <w:t>En l’espèce, la culpabilité de l’appelant est importante. Il s’en est pris à un bien juridique particulièrement fondamental, à savoir l’intégrité sexuelle, qui plus est de deux personnes aux capacités diminuées, dont il avait la responsabilité en tant qu’éducateur. Il n’a eu de cesse de nier toute implication, rejetant toute faute sur ses victimes, qu’il décrit comme délirantes, voulant à tout prix une relation avec lui et desquelles il devait par moments se cacher. Son seul regret, c’est qu’il est « emmerdant de se trouver dans cette situation alors qu[’il a] cotisé pendant 21 ans » (PV audience débats d’appel, p. 4). Ainsi, il a fait preuve d’une absence totale de remise en question et d’empathie envers ses victimes. Son mobile, l’assouvissement de pulsions sexuelles, est purement égoïste et fait écho à sa vision déformée du milieu dans lequel il travaillait, les employés dans le monde de l’éducation étant selon lui « comme une orgie », plusieurs personnes étant sorties ensemble (PV audience débats d’appel, p. 3). On retiendra également à charge les antécédents de l’appelant et le concours d’infractions. On ne voit guère d’élément à décharge. L’appelant s’est rendu coupable de contrainte sexuelle et d’actes d’ordre sexuel commis sur une personne incapable de discernement ou de résistance. Les motifs de prévention spéciale justifient qu’une peine privative de liberté soit prononcée à son encontre. Au vu de son comportement, elle sera fixée à 12 mois, soit six mois pour chacune des infractions. Elle sera ferme, le pronostic devant être qualifié de défavorable, comme souligné par l’autorité précédente. Cette peine sera partiellement complémentaire à celle prononcée le 19 août 2021 par le Ministère public de l’arrondissement de Lausanne.</w:t>
      </w:r>
    </w:p>
    <w:p>
      <w:r>
        <w:rPr>
          <w:b/>
        </w:rPr>
        <w:t>E. 5.1</w:t>
      </w:r>
    </w:p>
    <w:p>
      <w:r>
        <w:t>L’interdiction d’exercer une activité professionnelle ou une activité non professionnelle organisée impliquant des contacts réguliers avec des personnes particulièrement vulnérables, prononcée à l’encontre</w:t>
      </w:r>
    </w:p>
    <w:p>
      <w:r>
        <w:t>- 23 - de l’appelant pour une durée de 10 ans, doit également être examinée d’office.</w:t>
      </w:r>
    </w:p>
    <w:p>
      <w:r>
        <w:rPr>
          <w:b/>
        </w:rPr>
        <w:t>E. 5.2</w:t>
      </w:r>
    </w:p>
    <w:p>
      <w:r>
        <w:t>Aux termes de l’art. 67 al. 1 CP, 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 Ainsi, selon cette disposition, le tribunal est libre de prononcer une interdiction d’exercer une activité aux conditions suivantes : un crime ou un délit a été commis (1), une peine privative de liberté de plus de six mois est prononcée (2), l’acte a été commis dans l’exercice d’une activité professionnelle ou non professionnelle organisée (3) et il existe un pronostic défavorable (4). La principale condition permettant d’ordonner cette mesure est le risque de nouveaux abus. Tout risque d’abus ne suffit cependant pas. Le tribunal doit examiner si la mesure est nécessaire, appropriée et proportionnée (TF 6B_123/2020 du 26 novembre 2020 consid. 9.1).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("s'il y a lieu de craindre de nouveaux abus") (TF 6B_151/2022 du 10 novembre 2022 consid. 5.2 ; TF 6B_123/2020 précité consid. 9.1 ; TF 6B_447/2014 du 30 octobre 2014 consid. 4.3). Selon l’art. 67 al. 2 CP – qui constitue une interdiction qualifiée d’exercer une activité – si l’auteur a commis un crime ou un délit contre un mineur ou une autre personne particulièrement vulnérable et qu’il y a lieu de craindre qu’il commette un nouvel acte de même genre dans l’exercice d’une activité professionnelle ou d’une activité non</w:t>
      </w:r>
    </w:p>
    <w:p>
      <w:r>
        <w:t>- 24 - professionnelle organisée impliquant des contacts réguliers avec des mineurs ou d’autres personnes particulièrement vulnérables, le juge peut lui interdire l’exercice de cette activité pour une durée de un à dix ans. Selon l’art. 67 al. 4 let. a ch. 1 CP – qui constitue également une interdiction qualifiée d’exercer une activité – s’il a été prononcé contre l’auteur une peine notamment pour contrainte sexuelle (art. 189) ou actes d’ordre sexuel commis sur une personne incapable de discernement ou de résistance (art. 191) et que la victime était un adulte particulièrement vulnérable,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Cette disposition instaure en particulier une interdiction spéciale d’exercer des activités dans le domaine de la santé impliquant des contacts avec des patients au nom de la protection de personnes dépendantes ou incapables de résistance ou de discernement (FF 2016, p. 5946). L’interdiction ne suppose aucun pronostic défavorable. Si les conditions évoquées sont remplies, le juge doit ordonner l’interdiction à vie d’exercer une activité, sous réserve des exceptions prévues à l’art. 67 al. 4bis CP (FF 2016, pp. 5945 et 5946), qui s’applique aux cas de très peu de gravité.</w:t>
      </w:r>
    </w:p>
    <w:p>
      <w:r>
        <w:rPr>
          <w:b/>
        </w:rPr>
        <w:t>E. 5.3</w:t>
      </w:r>
    </w:p>
    <w:p>
      <w:r>
        <w:t>Une interdiction d’exercer pour une durée de 10 ans (art. 67 al. 2 CP), et non pas à vie (art. 67 al. 4 CP), a été prononcée à l’encontre de l’appelant. Vu les circonstances – condamnation pour contrainte sexuelle et actes d’ordre sexuel commis sur une personne incapable de discernement ou de résistance commis à l’encontre de victimes [...] et faisant l’objet d’une curatelle de portée générale en raison de son retard mental conséquent pour l’une, présentant des problèmes d’élocution et faisant l’objet d’une curatelle de portée générale en raison d’une infirmité motrice cérébrale pour l’autre – une interdiction d’exercer à vie, au sens de l’art. 67 al. 4 CP, aurait dû être prononcée. Toutefois, en raison de</w:t>
      </w:r>
    </w:p>
    <w:p>
      <w:r>
        <w:t>- 25 - l’interdiction de la reformatio in pejus, seule l’interdiction pour une durée de dix ans entre en considération. L’appelant a commis les actes litigieux dans le cadre d’une profession protégée. Il a agi à plusieurs reprises. Il n’a pas pris conscience de ses fautes, dès lors qu’il persiste à nier les faits. L’interdiction pour une durée de 10 ans sera par conséquent confirmée.</w:t>
      </w:r>
    </w:p>
    <w:p>
      <w:r>
        <w:rPr>
          <w:b/>
        </w:rPr>
        <w:t>E. 6.1</w:t>
      </w:r>
    </w:p>
    <w:p>
      <w:r>
        <w:t>L’appelant ne conteste pas non plus en tant que telle son expulsion. Il souligne néanmoins qu’il ne peut par retourner au Burundi, car « ils tuent les gens » et qu’il ne pourrait pas y trouver les médicaments pour soigner son diabète (PV audience débats d’appel, p. 4). Le 29 juin 2023, il avait produit une attestation médicale selon laquelle il « présente un diabète de type II de type ketosis prône, forme difficile à réguler avec plusieurs décompensation acido-cétosiques ayant nécessité des passages aux urgences et des hospitalisations ». Selon son médecin traitant qui le suit depuis mai 2020, ce diabète serait « compliqué d’une polyneuropathie et d’une néphropathie ». Son traitement impliquerait des injections d’insuline et un suivi avec une infirmière en diabétologie et son médecin généraliste (P. 56/1).</w:t>
      </w:r>
    </w:p>
    <w:p>
      <w:r>
        <w:rPr>
          <w:b/>
        </w:rPr>
        <w:t>E. 6.2.1</w:t>
      </w:r>
    </w:p>
    <w:p>
      <w:r>
        <w:t>Aux termes de l'art. 66a al. 1 let. h CP, le juge expulse de Suisse, pour une durée de cinq à quinze ans, l'étranger qui est condamné pour contrainte sexuelle (art. 189 CP) ou actes d’ordre sexuel avec des personnes dépendantes (art. 191 CP),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w:t>
      </w:r>
    </w:p>
    <w:p>
      <w:r>
        <w:t>- 26 - p. 315 ; Fiolka/Vetterli, Die Landesverweisung nach Art. 66a StGB als strafrechtliche Sanktion, in : Plädoyer 5/2016 p. 84).</w:t>
      </w:r>
    </w:p>
    <w:p>
      <w:r>
        <w:rPr>
          <w:b/>
        </w:rPr>
        <w:t>E. 6.2.2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w:t>
      </w:r>
    </w:p>
    <w:p>
      <w:r>
        <w:t>- 27 -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TF 6B_639/2019 du 20 août 2019 consid. 1.3.1).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6B_639/2019 précité consid. 1.3.1; 6B_143/2019 du 6 mars 2019 consid. 3.3.1 et les réf. cit.). La jurisprudence rendue en droit des étrangers retient que la révocation de l'autorisation d'établissement d'un étranger qui séjourne depuis longtemps en Suisse doit se faire avec une retenue particulière, mais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144 IV 332 consid. 3.3.3 p. 341 et les réf. cit.). Pour se prévaloir d'un droit au respect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w:t>
      </w:r>
    </w:p>
    <w:p>
      <w:r>
        <w:t>- 28 - durée de séjour en Suisse, que l'étranger y est enraciné et dispose de ce fait d'un droit de présence dans notre pays. Il procède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 TF 6B_639/2019 précité consid. 1.3.2). Dans certaines circonstances, le cas de rigueur peut se justifier au vu de l’état de santé psychologique de l’intéressé et des faibles perspectives de soins médicaux appropriés dans son pays d’origine. Concernant le défaut de traitement médical approprié dans le pays de renvoi, la jurisprudence de la Cour européenne des droits de l'homme considère toutefois que ce n'est que dans des situations exceptionnelles, en raison de « considérations humanitaires impérieuses », que la mise à exécution d'une décision d'éloignement d'un étranger peut emporter violation de l'art. 3 CEDH (CourEDH Emre c. Suisse du 22 mai 2008, affaire no 42034/04 § 88). Ainsi, le fait que la situation d'une personne dans son pays d'origine serait moins favorable que celle dont elle jouit dans le pays d'accueil n'est pas déterminant du point de vue de l'art. 3 CEDH (CourEDH Emre précité § 91). Il faut des motifs sérieux et avérés de croire que l'intéressé, si on l'expulse vers le pays de destination, y courra un risque réel d'être soumis à un traitement contraire à l'art. 3 CEDH (CourEDH N. c. Royaume-Uni du 27.05.2008, affaire no 26565/05 § 30). La Cour européenne des droits de l'homme exige ainsi un seuil de gravité élevé pour que l'état de santé d'une personne lui permette de s'opposer à son expulsion (CourEDH Emre précité § 92, CourEDH N. c. Royaume-Uni précité § 42 et § 32 ss énumérant la jurisprudence de la CourEDH relative à l'art. 3 CEDH et à l'expulsion de personnes gravement malades ; cf. aussi TF 2D_55/2015 du 9 mai 2016 consid. 4.1). La Cour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w:t>
      </w:r>
    </w:p>
    <w:p>
      <w:r>
        <w:t>- 29 -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Une situation personnelle grave, ou une violation de l'art. 8 CEDH, peut aussi résulter d'une expulsion ordonnée malgré un état de santé déficient, en fonction des prestations médicales à disposition dans l'Etat d'origine et des conséquences négatives que cela peut engendrer pour la personne concernée (ATF 145 IV 455 consid. 9.1).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précité consid. 3.2.3 et les réf. cit.).</w:t>
      </w:r>
    </w:p>
    <w:p>
      <w:r>
        <w:rPr>
          <w:b/>
        </w:rPr>
        <w:t>E. 6.3</w:t>
      </w:r>
    </w:p>
    <w:p>
      <w:r>
        <w:t>Ressortissant du Burundi, le prévenu est né et a passé les trois premières années de sa vie en Suisse. Il a ensuite effectué sa scolarité en Afrique et a obtenu un baccalauréat au Burundi, où il a travaillé dans la logistique jusqu’en 1993, soit l’année de ses 21 ans. Il est ensuite revenu en Suisse. Il y a exercé divers emplois, a entrepris une formation d’éducateur de 2007 à 2010 à l’[...] et a obtenu un diplôme d’éducateur. Il est titulaire d’un permis C. Il est père d’une fille née en 1997, qui vit à Londres. Il s’est marié en 1999 et a divorcé en 2008. Il est père d’une deuxième fille née hors mariage en 2006, qui vit au Burundi, avec laquelle il est toujours en contact (jugement querellé, p. 13). En Suisse, le prévenu a sa mère, son frère et sa sœur, ainsi que la famille de cette dernière. Ils sont très soudés et se voient souvent. Il a également des amis. Sur le plan professionnel, il n’a plus d’activité lucrative depuis janvier 2023 et bénéficie actuellement du RI. Il pense</w:t>
      </w:r>
    </w:p>
    <w:p>
      <w:r>
        <w:t>- 30 - s’orienter dans une autre filière, à savoir dans le domaine de l’aviation à l’aéroport de Genève. Les infractions contre l’intégrité sexuelle commises par l’appelant entrent dans le catalogue des crimes entraînant une expulsion obligatoire (art. 66a al. 1 let. h CPP). Compte tenu des années passées en Suisse et de la présence de sa famille dans ce pays, ainsi que de ses problèmes médicaux, on doit admettre que l’appelant a un intérêt privé à demeurer en Suisse. Néanmoins, au vu de la gravité des infractions commises, de l’absence de prise conscience, du risque de récidive d’actes de même nature et d’une intégration somme toute mitigée, notamment eu égard à sa situation professionnelle et ses antécédents – quatre condamnations qui attestent d’un mépris certain de l’ordre juridique suisse –, l’intérêt public à l’expulsion l’emporte sur l’intérêt privé de l’appelant à rester en Suisse. On relèvera que contrairement à ce qu’ont indiqué les premiers juges, l’appelant n’a pas toujours vécu en Suisse (jugement querellé, p. 41). Hormis ses trois premières années de vie, période de l’amnésie infantile de laquelle l’enfant ne garde aucun souvenir, il a vécu toute son enfance au Burundi et au Rwanda et n’est revenu en Suisse que l’année de ses 21 ans. Il garde un lien avec le Burundi, puisqu’une de ses filles y vit, avec laquelle il a des contacts téléphoniques mensuels (PV aud. 6, ll. 60 ss). S’agissant de ses problèmes de santé, on constate qu’aux débats d’appel, l’appelant a évoqué pour la première fois, et sans donner le moindre détail à cet égard, que son diabète ne pourrait pas être correctement soigné au Burundi et que cette raison médicale s’opposait dès lors à son renvoi. S’il est notoire que le système de santé burundais est actuellement défaillant (cf. site Internet du Département fédéral des affaires étrangères, « Conseils pour les voyages – Burundi »), l’appelant n’a ainsi nullement démontré qu'il encourt concrètement un risque en cas de renvoi, étant précisé qu’il a la possibilité, au besoin, d’importer les médicaments dont il aurait besoin. En outre, la jurisprudence de la CEDH au sujet de l’empêchement du renvoi pour des motifs de santé (cf. consid. 6.2.2 supra) concerne des cas exceptionnels, qui se distinguent de celui de l’appelant. Le raisonnement est le même concernant l’affirmation très générale de l’appelant selon</w:t>
      </w:r>
    </w:p>
    <w:p>
      <w:r>
        <w:t>- 31 - laquelle au Burundi, ils tuent les gens. Les déclarations de l’appelant sont insuffisantes et ne permettent pas de renoncer à son expulsion sur la base de l’art. 66a al. 2 CP. C’est donc à bon droit que l’autorité inférieure a ordonné l’expulsion de l’appelant, la durée de 10 ans étant par ailleurs adéquate au regard de sa culpabilité.</w:t>
      </w:r>
    </w:p>
    <w:p>
      <w:r>
        <w:rPr>
          <w:b/>
        </w:rPr>
        <w:t>E. 7.1</w:t>
      </w:r>
    </w:p>
    <w:p>
      <w:r>
        <w:t>L’appelant conclut au rejet des conclusions civiles allouées à V.________</w:t>
      </w:r>
    </w:p>
    <w:p>
      <w:r>
        <w:rPr>
          <w:b/>
        </w:rPr>
        <w:t>E. 7.2</w:t>
      </w:r>
    </w:p>
    <w:p>
      <w:r>
        <w:t>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TF 6B_1404/2021 du 8 juin 2022 consid. 6.1). Statuant selon les règles du droit et de l'équité (art. 4 CC), le juge dispose d'un large pouvoir d'appréciation.</w:t>
      </w:r>
    </w:p>
    <w:p>
      <w:r>
        <w:t>- 32 -</w:t>
      </w:r>
    </w:p>
    <w:p>
      <w:r>
        <w:rPr>
          <w:b/>
        </w:rPr>
        <w:t>E. 7.3</w:t>
      </w:r>
    </w:p>
    <w:p>
      <w:r>
        <w:t>Le tort moral alloué, soit 5'000 fr., est adéquat et doit être confirmé. V.________ a été atteinte dans son intégrité sexuelle. Elle a été victime d’une personne en laquelle elle avait placé sa confiance. En raison des faits, elle a présenté des symptômes de stress post-traumatique, des épisodes d’anxiété, des difficultés de sommeil, des angoisses et des reviviscences, engendrant des difficultés en lien avec l’estime de soi et de la méfiance. Son traitement a nécessité la prise de benzodiazépines et des interventions en EMDR, TCC (thérapie cognitivo-comportementale) et psychoéducation. Les conséquences de cette souffrance morale sont attestées médicalement. L’indemnité porte intérêts à 5% l’an dès la survenance de l’événement dommageable (ATF 129 IV 149 consid. 4.1 et les réf. cit.).</w:t>
      </w:r>
    </w:p>
    <w:p>
      <w:r>
        <w:rPr>
          <w:b/>
        </w:rPr>
        <w:t>E. 8</w:t>
      </w:r>
    </w:p>
    <w:p>
      <w:r>
        <w:t>En définitive, l’appel doit être rejeté et le jugement querellé confirmé. Me Christian Dénériaz, défenseur d’office de X.________, a produit une liste d’opérations dans laquelle il indique une activité nécessaire d’avocat de 2h09 et d’avocat-stagiaire de 9h54, ce qui est adéquat, sous réserve de la durée de l’audience d’appel annoncée qui sera réduite d’1h50. L’indemnité de défenseur d’office sera dès lors fixée à 1’274 fr. 35 ([2h09 x 180 fr.] + [8h04 x 110 fr.]), plus des débours forfaitaires, par 25 fr. 50, une vacation à 80 fr. et la TVA à 8,1 %, par 111 fr. 75, soit à un total de 1'491 fr. 60, TVA et débours inclus. Il est constaté que la vacation n’a pas été comptabilisée dans le chiffre III du dispositif notifié aux parties le 1er octobre 2024 ; cette erreur sera rectifiée d’office (art. 83 al. 1 CPP). Me Corinne Arpin, conseil juridique gratuit de V.________, a produit une liste d’opérations dans laquelle elle indique une activité nécessaire d’avocat de 12h, ce qui est adéquat, sous réserve de la durée de l’audience d’appel annoncée qui sera réduite de 2h50. L’indemnité de défenseur d’office doit ainsi être fixée à 1’650 fr., plus des débours</w:t>
      </w:r>
    </w:p>
    <w:p>
      <w:r>
        <w:t>- 33 - forfaitaires, par 33 fr., et la TVA à 8,1 %, par 136 fr. 30, soit à un total de 1'819 fr. 30, TVA et débours inclus. Vu l’issue de la cause, les frais de la procédure d’appel, constitués de l’émolument de jugement et d’audience, par 3’340 fr. (art. 21 al. 1 et 2 TFIP [tarif des frais de procédure et indemnités en matière pénale du 28 septembre 2010 ; BLV 312.03.1]), et des indemnités dues au défenseur d’office et au conseil juridique gratuit, par 3’310 fr. 90 (1'491 fr. 60 + 1'819 fr. 30), soit au total 6'650 fr. 90, seront mis à la charge de X.________, qui succombe (art. 428 al. 1 CPP). X.________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