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PE21.015799 vom 12. April 2022</w:t>
      </w:r>
    </w:p>
    <w:p>
      <w:r>
        <w:t>VD Tribunal cantonal, 2022-04-12, FR</w:t>
      </w:r>
    </w:p>
    <w:p>
      <w:r>
        <w:rPr>
          <w:b/>
        </w:rPr>
        <w:t xml:space="preserve">Quelle: </w:t>
      </w:r>
      <w:r>
        <w:t>https://mcp.opencaselaw.ch/entscheid/vd_gerichte_PE21.015799</w:t>
      </w:r>
    </w:p>
    <w:p>
      <w:r>
        <w:t>FR: VD_GERICHTE PE21.015799 du 12 avril 2022</w:t>
      </w:r>
    </w:p>
    <w:p>
      <w:r>
        <w:t>IT: VD_GERICHTE PE21.015799 del 12 aprile 2022</w:t>
      </w:r>
    </w:p>
    <w:p>
      <w:pPr>
        <w:pStyle w:val="Heading2"/>
      </w:pPr>
      <w:r>
        <w:t>Erwägungen</w:t>
      </w:r>
    </w:p>
    <w:p>
      <w:r>
        <w:rPr>
          <w:b/>
        </w:rPr>
        <w:t>E. 1</w:t>
      </w:r>
    </w:p>
    <w:p>
      <w:r>
        <w:t>Interjeté en temps utile (art. 396 al. 1 CPP) contre une décision du Ministère public refusant au prévenu la désignation d’un défenseur d’office (art. 393 al. 1 let. a CPP), par le prévenu qui a qualité pour recourir (art. 382 al. 1 CPP) et dans les formes prescrites (art. 385 al. 1 CPP), le recours de S.________ est recevable. Déposée hors délai, la pièce numéro 8 est en revanche irrecevable. De toute manière, elle est sans pertinence (cf. infra consid. 2.2).</w:t>
      </w:r>
    </w:p>
    <w:p>
      <w:r>
        <w:rPr>
          <w:b/>
        </w:rPr>
        <w:t>E. 2</w:t>
      </w:r>
    </w:p>
    <w:p>
      <w:r>
        <w:t>Le recourant se plaint d’une violation de l’art. 132 CPP. Il fait valoir, d’une part, que la gravité de l’affaire dépasse largement la seule peine encourue et revêt à ce titre une certaine importance. D’autre part, il considère que la cause présente des difficultés en droit qui commandent le concours d’un avocat. Il invoque à cet égard que le destinataire des propos litigieux a été entendu à charge sans même que lui-même en ait été averti, et alors qu’il était en vacances ; ses droits auraient été violés et l’audition en cause serait inexploitable. En outre, la plainte déposée contre lui serait une « plainte prétexte » ; et lui-même serait en réalité la victime d’une escroquerie commise par le plaignant. Enfin, il fait valoir que le plaignant « cherchera vraisemblablement à se baser sur cette affaire pour</w:t>
      </w:r>
    </w:p>
    <w:p>
      <w:r>
        <w:t>- 4 - diriger une action civile contre le recourant et atténuer sa faute dans la procédure pénale dirigée contre lui ».</w:t>
      </w:r>
    </w:p>
    <w:p>
      <w:r>
        <w:rPr>
          <w:b/>
        </w:rPr>
        <w:t>E. 2.1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Jeanneret et al. [éd.], Commentaire romand, Code de procédure pénale suisse, 2e éd., Bâle 2019, n. 55 ad art. 132 CPP). Selon la jurisprudence, une personne est indigente lorsqu’elle n’est pas en mesure d’assumer les frais de la procédure sans porter atteinte au minimum nécessaire à son entretien et à celui de sa famille (ATF 144 III 531 consid. 4.1 ; ATF 141 III 369 consid. 4.1).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Les critères énoncés par l’art. 132 al. 1 let. b, 2 et 3 CPP reprennent largement la jurisprudence fédérale en matière d’assistance judiciaire, rendue sur la base des art. 29 al. 3 Cst. (Constitution fédérale de la Confédération suisse du 18 avril 1999 ; RS 101) et 6 ch. 3 let. c CEDH (Convention de sauvegarde des droits de l’homme et des libertés fondamentales conclue à Rome le 4 novembre 1950 ; RS 0.101) (ATF 143 I 164 consid. 3.5). Si les deux conditions mentionnées à l’art. 132 al. 2 CPP doivent être réunies cumulativement, il n’est pas exclu que l’intervention d’un défenseur soit justifiée par d’autres motifs (comme l’indique l’adverbe « notamment » ; cf. TF 1B_194/2021 du 21 juin 2021 consid.</w:t>
      </w:r>
    </w:p>
    <w:p>
      <w:r>
        <w:t>- 5 - 3.1).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1B_591/2021 du 12 janvier 2022 consid. 2.1 ; TF 1B_157/2021 du 31 mars 2021 consid. 3.2). Pour évaluer si l’affaire présente des difficultés que le prévenu ne pourrait pas surmonter sans l’aide d’un avocat, il y a lieu d’apprécier l’ensemble des circonstances concrètes. La nécessité de l’intervention d’un conseil juridique doit ainsi se reposer sur des éléments objectifs, tenant principalement à la nature de la cause, et sur des éléments subjectifs, fondés sur l’aptitude concrète du requérant à mener seul la procédure (TF 1B_157/2021 précité ; TF 1B_194/2021 précité et les arrêts cités). S’agissant de la difficulté objective de la cause, à l’instar de ce qu’elle a développé en rapport avec les chances de succès d’un recours (ATF 139 III 396 consid. 1.2 ; ATF 129 I 129 consid. 2.3.1),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w:t>
      </w:r>
    </w:p>
    <w:p>
      <w:r>
        <w:t>- 6 - les preuves qu’il devra offrir (TF 1B_157/2021 précité ; TF 1B_229/2021 du 9 septembre 2021).</w:t>
      </w:r>
    </w:p>
    <w:p>
      <w:r>
        <w:rPr>
          <w:b/>
        </w:rPr>
        <w:t>E. 2.2</w:t>
      </w:r>
    </w:p>
    <w:p>
      <w:r>
        <w:t>En l’espèce, la question de l’indigence du recourant peut rester ouverte, le Ministère public ne la mentionnant pas expressément dans son refus et le recours devant de toute manière être rejeté pour le motif suivant. S’agissant de la gravité de la cause, S.________ est soupçonné d’avoir proféré des propos diffamatoires à l’encontre de W.________. Le Ministère public a fait procéder aux auditions des précités, et de l’employeur de W.________, H.________, qui était le destinataire des propos litigieux. Le recourant a intégralement admis les faits reprochés (cf. PV aud 2, R. 5 et 6), qui sont au demeurant simples et clairement délimités. Même si le Ministère public, après avoir administré les preuves nécessaires au jugement de l’opposition, éventuellement le tribunal de première instance si l’accusation est portée devant lui, ne sont pas liés par la peine prononcée, respectivement requise par le Ministère public dans sa nouvelle ordonnance pénale frappée d’opposition (cf. art. 356 al. 1 et 326 al. 1 let. f CPP), le seuil fixé à l’art. 132 al. 3 CPP ne paraît pas devoir être atteint, le recourant ayant été condamné par ordonnance pénale à 80 jours-amende. A supposer que le tribunal de première instance éventuellement saisi s’écarte de l’appréciation du Parquet concernant la sanction, il est toutefois très peu probable qu’elle dépasse pour autant le seuil de 120 jours-amende prévu à l’art. 132 al. 3 CPP. De toute manière, si telle était néanmoins son intention, un défenseur d’office pourrait encore être désigné au recourant à ce stade. Enfin, le recourant n’invoque aucun argument en lien avec le sursis assortissant la peine infligée au recourant par jugement du Tribunal correctionnel de l’arrondissement de Lausanne le 21 février 2019 ; à raison, dès lors que la révocation de la peine privative de liberté en cause – de dix-huit mois – dépasse manifestement la compétence du Ministère public. L’une des conditions cumulatives pour ordonner une défense d’office, qui porte sur la gravité de la cause, n’est dès lors pas réalisée. Il</w:t>
      </w:r>
    </w:p>
    <w:p>
      <w:r>
        <w:t>- 7 - n’est pas nécessaire d’analyser la condition de la difficulté objective et subjective de la cause, le recours devant être rejeté pour cette raison déjà. Au demeurant, les moyens du recourant à cet égard ne sont pas pertinents. Ce dernier ne rend en effet pas vraisemblable qu’il serait dans l’incapacité subjective d’invoquer son absence lors de l’audition du destinataire des propos litigieux, voire de requérir sa ré-audition en contradictoire. Quant à l’éventuelle action civile que le plaignant pourrait intenter contre lui aux fins d’atténuer sa faute dans le cadre de la procédure pénale dirigée contre lui, il s’agit – si l’on comprend bien – d’une conséquence indirecte à la présente procédure et qui ne repose que sur des conjectures. Au vu de ce qui précède, c’est à bon droit que le Ministère public a refusé de désigner un avocat d’office à S.________.</w:t>
      </w:r>
    </w:p>
    <w:p>
      <w:r>
        <w:rPr>
          <w:b/>
        </w:rPr>
        <w:t>E. 3</w:t>
      </w:r>
    </w:p>
    <w:p>
      <w:r>
        <w:t>Il s’ensuit que le recours, manifestement mal fondé, doit être rejeté sans échange d’écritures (art. 390 al. 2 CPP) et l’ordonnance du 31 janvier 2022 confirmée. Les frais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31 janvier 2022 est confirmée. III. Les frais d’arrêt, par 770 fr. (sept cent septante francs), sont mis à la charge de S.________.</w:t>
      </w:r>
    </w:p>
    <w:p>
      <w:r>
        <w:t>- 8 - IV. L’arrêt est exécutoire. La présidente : La greffière : Du Le présent arrêt, dont la rédaction a été approuvée à huis clos, est notifié, par l'envoi d'une copie complète, à : - Me Jean-Nicolas Roud, avocat (pour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