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PE21.015571 vom 24. März 2022</w:t>
      </w:r>
    </w:p>
    <w:p>
      <w:r>
        <w:t>VD Tribunal cantonal, 2022-03-24, FR</w:t>
      </w:r>
    </w:p>
    <w:p>
      <w:r>
        <w:rPr>
          <w:b/>
        </w:rPr>
        <w:t xml:space="preserve">Quelle: </w:t>
      </w:r>
      <w:r>
        <w:t>https://mcp.opencaselaw.ch/entscheid/vd_gerichte_PE21.015571</w:t>
      </w:r>
    </w:p>
    <w:p>
      <w:r>
        <w:t>FR: VD_GERICHTE PE21.015571 du 24 mars 2022</w:t>
      </w:r>
    </w:p>
    <w:p>
      <w:r>
        <w:t>IT: VD_GERICHTE PE21.015571 del 24 marzo 2022</w:t>
      </w:r>
    </w:p>
    <w:p>
      <w:pPr>
        <w:pStyle w:val="Heading2"/>
      </w:pPr>
      <w:r>
        <w:t>Erwägungen</w:t>
      </w:r>
    </w:p>
    <w:p>
      <w:r>
        <w:rPr>
          <w:b/>
        </w:rPr>
        <w:t>E. 1.1</w:t>
      </w:r>
    </w:p>
    <w:p>
      <w:r>
        <w:t>Interjeté dans les formes et délais légaux (art. 399 CPP), par une partie ayant la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t>- 7 - 2.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6B_1263/2018 du 28 janvier 2019 consid. 2.1.1 ; TF 6B_868/2018 du 26 octobre 2018 consid. 1). 3. L'appelant conteste sa condamnation pour vol, tentative de vol, dommages à la propriété, violation de domicile et n’admet que l’infraction à la loi fédérale sur les étrangers et l’intégration. Il se prévaut implicitement d’une violation du principe de la présomption d’innocence.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t>- 8 -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t>- 9 -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3.2 En l'espèce, les dénégations du prévenu sont malvenues. Entre le 5 et le 6 septembre 2021, il a commis quatre méfaits et, il a été de ce fait surpris en flagrant délit par les lésés. Les plaignants L.________ et O.________ (PV aud. 1) ont pu l'identifier, de même que le témoin K.________ (PV aud. 2) lorsqu’il a pénétré par effraction dans la voiture de C.________ (cf. ch. 2.3 supra). Tous les actes ont été commis dans les mêmes circonstances de fait et de lieu. Les objets dérobés, soit en particulier une clé de voiture BMW, une clé de garage grise « Marantec » et deux paires de lunettes de soleil provenant du vol commis au préjudice de C.________, ont été retrouvés en possession de l’appelant lors de son interpellation. De plus, à une dizaine de mètres du lieu où il a été interpellé, la police a découvert un sac à dos contenant divers effets susceptibles pour certains de correspondre au butin du cambriolage perpétré chez L.________ (P. 4, 5 et 6). Dans ces circonstances, il ne fait aucun doute que l’appelant est bien l’auteur des actes décrits aux chiffres 2 à 5 de l’acte d’accusation (cf. ch. 2.2 à 2.5 supra). L’appel, mal fondé, doit être rejeté sur ce point.</w:t>
      </w:r>
    </w:p>
    <w:p>
      <w:r>
        <w:t>- 10 - 4. L'appelant conteste la légalité et l'opportunité de la mesure de traitement institutionnel. Cette conclusion est cependant dénuée d’objet dès lors que le jugement attaqué ne prononce aucune mesure à l’encontre de l’intéressé. 5. L’appelant conteste la quotité de la peine prononcée à son encontre et conclut au prononcé d’une peine privative de liberté de 30 jours. Cette conclusion repose sur la prémisse de son acquittement des infractions de vol, tentative de vol, dommages à la propriété et violation de domicile. Dans la mesure où sa culpabilité est confirmée, ce grief tombe à faux. La culpabilité de l’appelant n’est pas négligeable. Il a en effet commis bon nombre d’infractions en très peu de temps. Les infractions sont en concours. L’appelant n’a fait preuve d’aucune prise de conscience puisqu’il nie son implication nonobstant les éléments le mettant en cause. La peine prononcée par le premier juge, soit une peine privative de liberté ferme de 9 mois, a été fixée conformément à la culpabilité et sanctionne adéquatement le comportement de l’appelant. Elle doit ainsi être confirmée. 6. L’appelant conteste son expulsion du territoire suisse pour une durée de 10 ans. Cette conclusion repose sur la prémisse de son acquittement des infractions de vol, tentative de vol, dommages à la propriété et violation de domicile. 6.1 Aux termes de l’art. 66a CP, le juge expulse de Suisse l’étranger qui est condamné pour vol (art. 139 CP) en lien avec une violation de domicile (art. 186 CP), quelle que soit la quotité de la peine prononcée à son encontre, pour une durée de cinq à quinze ans (al. 1 let. d). Le juge peut exceptionnellement renoncer à une expulsion lorsque celle-ci mettrait l’étranger dans une situation personnelle grave et</w:t>
      </w:r>
    </w:p>
    <w:p>
      <w:r>
        <w:t>- 11 - que les intérêts publics à l’expulsion ne l’emportent pas sur l’intérêt privé de l’étranger à demeurer en Suisse. À cet égard, il tiendra compte de la situation particulière de l’étranger qui est né ou qui a grandi en Suisse (al. 2).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6.2 En l’espèce, la condamnation de l’appelant pour vol, tentative de vol, dommages à la propriété, violation de domicile et infractions à la Loi fédérale sur les étrangers et l’intégration étant confirmée, celui-ci remplit les conditions d’une expulsion obligatoire, sous réserve d’une application de l’art. 66a al. 2 CP. L’appelant est un ressortissant de Turquie, pays dans lequel réside sa famille, à savoir ses quatre sœurs et sa fille, avec qui il entretient des contacts (PV aud. 3, R6). Il dit être venu</w:t>
      </w:r>
    </w:p>
    <w:p>
      <w:r>
        <w:t>- 12 - en Suisse, en mars ou en avril 2021, pour y trouver du travail. Il ne parle cependant par le français et ne travaille pas. Il n’a pas déposé de demande d’asile et n’a aucun statut ni domicile en Suisse. Partant, l’art. 66a al. 2 CP ne s’applique pas et, l’expulsion de l’appelant constitue une mesure proportionnée compte tenu de son absence d’attaches particulières avec la Suisse, nonobstant le souhait qu’il a exprimé de rester en Suisse.</w:t>
      </w:r>
    </w:p>
    <w:p>
      <w:r>
        <w:rPr>
          <w:b/>
        </w:rPr>
        <w:t>E. 2.1</w:t>
      </w:r>
    </w:p>
    <w:p>
      <w:r>
        <w:t>Entre le mois de mars 2021, date de son arrivée en Suisse, et le 6 septembre 2021, date de son interpellation, le prévenu I.________ a pénétré et séjourné en Suisse, alors qu’il était démuni de tout papier d’identité et qu’il n’était titulaire d’aucune autorisation de séjour.</w:t>
      </w:r>
    </w:p>
    <w:p>
      <w:r>
        <w:rPr>
          <w:b/>
        </w:rPr>
        <w:t>E. 2.2</w:t>
      </w:r>
    </w:p>
    <w:p>
      <w:r>
        <w:t>A Lausanne, avenue [...], dans la nuit du 5 au 6 septembre 2021, I.________ a pénétré sans droit dans l’appartement d’L.________, alors que la porte de ce logement n’était pas verrouillée. Une fois à l’intérieur, il a dérobé un sac à dos bleu de marque Rains, contenant une bouteille de vodka, une bouteille de Jack Daniel’s, une bouteille de coca, une veste noire et une paire de lunettes de soleil. L.________ a été réveillée par l’aboiement de son chien et a surpris le prévenu dans son salon. Ce dernier a alors pris la fuite. L.________ a déposé plainte et s’est constituée partie civile le</w:t>
      </w:r>
    </w:p>
    <w:p>
      <w:r>
        <w:rPr>
          <w:b/>
        </w:rPr>
        <w:t>E. 2.3</w:t>
      </w:r>
    </w:p>
    <w:p>
      <w:r>
        <w:t>A [...], avenue [...], le 6 septembre 2021 entre 11h45 et 13h30, I.________ a pénétré sans droit dans le parking souterrain de l’immeuble. Une fois à l’intérieur, il a pénétré par effraction dans la voiture Peugeot noire, immatriculée VD [...], appartenant à C.________, en lacérant le toit ouvrant en toile du véhicule. Une fois à l’intérieur, il a dérobé une paire de lunettes de soleil, une clé de voiture, une télécommande d’accès au parking et environ 10 fr. en monnaie. C.________ a déposé plainte et s’est constituée partie civile le 7 septembre 2021. Elle n’a toutefois pas chiffré le montant de ses prétentions civiles.</w:t>
      </w:r>
    </w:p>
    <w:p>
      <w:r>
        <w:rPr>
          <w:b/>
        </w:rPr>
        <w:t>E. 2.4</w:t>
      </w:r>
    </w:p>
    <w:p>
      <w:r>
        <w:t>A [...], avenue [...], rez-de-chaussée, le 6 septembre 2021, vers 14h15, I.________ a pénétré sans droit sur la terrasse de O.________, en escaladant la clôture. Une fois à l’intérieur, il a fouillé les lieux et ouvert un meuble à chaussures. Il a été surpris par O.________, alors qu’il essayait</w:t>
      </w:r>
    </w:p>
    <w:p>
      <w:r>
        <w:t>- 6 - une paire de chaussures appartenant à ce dernier. Il a dès lors quitté les lieux précipitamment, sans rien emporter. O.________ a reconnu I.________ comme étant la personne qui se trouvait sur sa terrasse. Il a déposé plainte le 6 septembre 2021.</w:t>
      </w:r>
    </w:p>
    <w:p>
      <w:r>
        <w:rPr>
          <w:b/>
        </w:rPr>
        <w:t>E. 2.5</w:t>
      </w:r>
    </w:p>
    <w:p>
      <w:r>
        <w:t>A [...], avenue [...], le 6 septembre 2021, I.________ a pénétré sans droit dans le parking souterrain de l’immeuble. Une fois à l’intérieur, il a tenté de dérober un scooter appartenant à Z.________, en essayant de forcer le guidon dudit véhicule. Il a été surpris par K.________, alors qu’il était assis sur le scooter. I.________ a alors pris la fuite et s’est rendu au 2ème sous-sol du parking. Il a été suivi par K.________ qui l’a perdu de vue. Au 2ème sous-sol du parking, K.________ a découvert notamment une bouteille de Jack Daniel’s, un sac à dos et des affaires de couchage. I.________ a été présenté à K.________ derrière une vitre sans tain. Ce dernier l’a reconnu, certain qu’il s’agissait de la personne qui se trouvait dans le parking souterrain. Z.________ a renoncé à déposer plainte. En d roit : 1.</w:t>
      </w:r>
    </w:p>
    <w:p>
      <w:r>
        <w:rPr>
          <w:b/>
        </w:rPr>
        <w:t>E. 7</w:t>
      </w:r>
    </w:p>
    <w:p>
      <w:r>
        <w:t>La détention subie par l’appelant depuis le jugement de première instance sera déduite (art. 51 CP).</w:t>
      </w:r>
    </w:p>
    <w:p>
      <w:r>
        <w:rPr>
          <w:b/>
        </w:rPr>
        <w:t>E. 8</w:t>
      </w:r>
    </w:p>
    <w:p>
      <w:r>
        <w:t>En définitive, l’appel de I.________ doit être rejeté et le jugement entrepris confirmé. Me Stefen Gintzburger, défenseur d’office de l’appelant, a produit une liste d’opérations (P. 47) dans laquelle il allègue avoir consacré à ce mandat 8 heures et 36 minutes (516 minutes), dont 2 heures 20 le 4 mai 2022 pour la rédaction de la « déclaration d’appel », 2 heures supplémentaires pour un « projet de mémoire d’appel » le 4 août 2022, et enfin 3 heures et 15 minutes (45 minutes le 5 avril 2022, 30 minutes le 13 mai 2022, 60 minutes le 21 juillet 2022 et 60 minutes le 6 septembre 2022) pour l’étude du dossier et la « renonciation à poursuivre ». Cette durée est manifestement excessive dans la mesure où l’affaire ne présente aucune difficulté particulière, que l’annonce d’appel du 4 avril 2022 consiste en un simple courrier indiquant le souhait de l’appelant de contester le jugement entrepris et que la déclaration d’appel du 4 mai 2022, qui tient sur 5 pages, n’est que très brièvement motivée, l’appelant indiquant qu’il « exposerait ses moyens dans la suite de la procédure d’appel », ce qu’il n’a toutefois pas fait. On admettra ainsi que l’avocat a consacré 1 heure à l’étude du dossier et 3 heures pour la rédaction des différents actes de procédure – y compris les demandes de prolongation de délai du 11 août (P. 42) et du 7 septembre 2022 (P. 44) – ce qui correspond à un mandat de 4 heures en tout. Au tarif horaire de</w:t>
      </w:r>
    </w:p>
    <w:p>
      <w:r>
        <w:t>- 13 - 180 fr., les honoraires doivent être fixés à 720 fr., auxquels s’ajoutent les débours forfaitaires de 2 % (art. 3bis al. 1 RAJ [Règlement du 7 décembre 2010 sur l’assistance judiciaire en matière civile ; BLV 211.02.3], applicable par renvoi de l’art. 26b TFIP [Tarif des frais de procédure et indemnités en matière pénale du 28 septembre 2010 ; BLV 312.03.1]), par 14 fr. 40 et la TVA à 7,7% sur le tout, par 56 fr. 55, soit une indemnité de 790 fr. 95 au total. Vu l’issue de la cause, les frais d’appel, par 2’000 fr. 95, constitués de l'émolument du présent jugement, par 1’210 fr. (art. 21 al. 1 et 2 TFIP [Tarif des frais de procédure et indemnités en matière pénale du 28 septembre 2010 ; BLV 312.03.1]), ainsi que de l’indemnité allouée à son défenseur d’office, par 790 fr. 95, seront mis à la charge de l’appelant, qui succombe (art. 428 al. 1 CPP). I.________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