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PE21.015337 vom 16. September 2021</w:t>
      </w:r>
    </w:p>
    <w:p>
      <w:r>
        <w:t>VD Tribunal cantonal, 2021-09-16, FR</w:t>
      </w:r>
    </w:p>
    <w:p>
      <w:r>
        <w:rPr>
          <w:b/>
        </w:rPr>
        <w:t xml:space="preserve">Quelle: </w:t>
      </w:r>
      <w:r>
        <w:t>https://mcp.opencaselaw.ch/entscheid/vd_gerichte_PE21.015337</w:t>
      </w:r>
    </w:p>
    <w:p>
      <w:r>
        <w:t>FR: VD_GERICHTE PE21.015337 du 16 septembre 2021</w:t>
      </w:r>
    </w:p>
    <w:p>
      <w:r>
        <w:t>IT: VD_GERICHTE PE21.015337 del 16 settembre 2021</w:t>
      </w:r>
    </w:p>
    <w:p>
      <w:pPr>
        <w:pStyle w:val="Heading2"/>
      </w:pPr>
      <w:r>
        <w:t>Erwägungen</w:t>
      </w:r>
    </w:p>
    <w:p>
      <w:r>
        <w:rPr>
          <w:b/>
        </w:rPr>
        <w:t>E. 3</w:t>
      </w:r>
    </w:p>
    <w:p>
      <w:r>
        <w:t>octobre 1951 ; RS 812.121), peine privative de liberté DPMin (loi fédérale régissant la condition pénale des mineurs du 20 juin 2003 [droit pénal des mineurs] ; RS 311.1) de 30 jours avec sursis pendant 2 ans. Outre la présente procédure, l’extrait du casier judiciaire d’I.________ mentionne les enquêtes pénales suivantes : - Tribunal des mineurs : incendie intentionnel et incendie par négligence pour des faits commis le 6 septembre 2019 ; - Tribunal des mineurs : vol et lésions corporelles simples pour des faits commis le 1er octobre 2019. Une enquête pénale est également dirigée contre I.________ pour lésions corporelles simples, menaces et injure, pour des faits commis le 24 juillet 2021. Le 4 septembre 2021, le Ministère public a adressé au Tribunal des mesures de contrainte une demande motivée de mise en détention</w:t>
      </w:r>
    </w:p>
    <w:p>
      <w:r>
        <w:t>- 3 - provisoire d’I.________ pour une durée de trois mois, invoquant un risque de réitération. A cet égard, le Parquet a en substance exposé que le prénommé avait été condamné à une peine privative de liberté par le Tribunal des mineurs notamment pour agression le 9 novembre 2020, qu’il faisait l’objet d’une enquête en cours depuis le 24 juillet 2021 à la suite d’une bagarre et qu’il lui était de nouveau reproché des actes de violence, de sorte que le risque de récidive devait être considéré comme majeur. Enfin, au chapitre de la proportionnalité, le Ministère public l’a estimée respectée. Dans ses déterminations du 5 septembre 2021, I.________ a conclu, principalement, au rejet de la demande de détention provisoire déposée par le Ministère public, subsidiairement au prononcé de mesures de substitution adaptées telles qu’une assignation à résidence entre 22h et 6h et un suivi thérapeutique en lien avec l’addiction à l’alcool. Il a contesté l’existence de graves soupçons de culpabilité, tout comme un quelconque risque de réitération, faisant notamment valoir que la victime aurait confirmé ne pas avoir reçu de coup de poing de sa part et que, depuis sa condamnation, il avait entrepris des mesures pour se réinsérer en initiant notamment un suivi psychiatrique. B. Par ordonnance du 6 septembre 2021, le Tribunal des mesures de contrainte a ordonné la détention provisoire d’I.________ (I), a fixé la durée maximale de celle-ci à 3 mois, soit au plus tard jusqu’au 3 décembre 2021 (II) et a dit que les frais de cette décision, par 300 fr., suivaient le sort de la cause (III). Le tribunal a estimé que la mise en cause du prévenu par l’agent de sécurité de la discothèque sise à proximité du lieu des faits était suffisante pour considérer qu’il existait des soupçons suffisants de culpabilité. Vu l’antécédent du prévenu pour agression, tentative de vol et recel notamment, ainsi que l’enquête dirigée contre lui pour avoir pris part à une bagarre, le risque de réitération était concret. Les conditions de la détention provisoire étaient donc remplies. Le tribunal a estimé qu’il n’existait aucune mesure de substitution susceptible de prévenir</w:t>
      </w:r>
    </w:p>
    <w:p>
      <w:r>
        <w:t>- 4 - valablement le risque retenu, au vu de son intensité, pas même celles qui étaient proposées par la défense, qui n’étaient pas documentées. S’agissant de la durée de la privation de liberté, le tribunal a considéré que le rôle des protagonistes de la présente affaire devrait être précisé et qu’une jonction avec l’autre affaire en cours contre le prévenu devrait également être envisagée. La durée de trois mois n'était donc pas excessive et restait proportionnée aux antécédents de l’intéressé, aux charges pesant sur lui et à la peine susceptible d’être prononcée en cas de condamnation. C. Par acte du 10 septembre 2021, I.________, par son défenseur d’office, a formé recours contre l’ordonnance précitée, en concluant, avec suite de frais et dépens, principalement à sa réforme en ce sens que la demande de détention provisoire soit rejetée et qu’il soit mis en liberté avec effet immédiat. A titre subsidiaire, il a conclu à la réforme de l’ordonnance entreprise en ce sens qu’il soit libéré avec effet immédiat, moyennant le prononcé de mesures de substitution, à forme d’une assignation à domicile de 22h à 6h et/ou d’une obligation de suivre une thérapie en lien avec son addiction à l’alcool. A titre plus subsidiaire encore, il a conclu à l’annulation de l’ordonnance attaquée et au renvoi de la cause au Tribunal des mesures de contrainte pour nouvelle décision dans le sens des considérants. A l’appui de son recours, I.________ a produit un rapport établi le 9 septembre 2021 par la Dre [...] et la psychologue [...], du Service de psychiatrie communautaire du CHUV. En d roit : 1. 1.1 Aux termes de l’art. 393 al. 1 let. c CPP (Code de procédure pénale suisse du 5 octobre 2007 ; RS 312.0), le recours est recevable contre les décisions du Tribunal des mesures de contrainte dans les cas prévus par le code.</w:t>
      </w:r>
    </w:p>
    <w:p>
      <w:r>
        <w:t>- 5 -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146 IV 326 consid. 3.1 ; ATF 137 IV 13 consid. 3 et 4). Le risque de récidive peut également se fonder sur les infractions faisant l'objet de la procédure pénale en cours, si le prévenu est fortement soupçonné – avec une probabilité confinant à la certitude – de les avoir commises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2.7 ; TF 1B_3/2019 précité consid. 3.1). Pour établir le pronostic de récidive, les critères déterminants sont la fréquence et l'intensité des infractions poursuivies. Cette évaluation doit prendre en compte une éventuelle tendance à</w:t>
      </w:r>
    </w:p>
    <w:p>
      <w:r>
        <w:t>- 9 -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[édit.],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w:t>
      </w:r>
    </w:p>
    <w:p>
      <w:r>
        <w:t>- 7 - culpabilité justifiant une telle mesure (ATF 137 IV 122 précité ; ATF 124 I 208 consid. 3 ; TF 1B_308/2018 du 17 juillet 2018 consid. 2.1 ; Forster, in : Niggli/Heer/Wiprächtiger [édit.], Basler Kommentar, Schweizerische Strafprozess-ordnung, 2e éd., Bâle 2014, n. 3 ad art. 221 CPP).</w:t>
      </w:r>
    </w:p>
    <w:p>
      <w:r>
        <w:rPr>
          <w:b/>
        </w:rPr>
        <w:t>E. 3.3</w:t>
      </w:r>
    </w:p>
    <w:p>
      <w:r>
        <w:t>En l’espèce, il est vrai que l’état de fait n’est à ce stade pas encore entièrement éclairci. Alors que l’agent de sécurité a mis en cause le recourant pour avoir donné des coups à la victime L.________, ce dernier ne paraît pas reconnaître le recourant comme l’un de ses agresseurs ; il a seulement pu désigner C.________. Cependant, la victime n’a pas exclu que le recourant lui ait donné des coups ; elle a indiqué que plusieurs personnes avaient tenté de l’agresser, sans qu’elle puisse déterminer qui avait fait quoi (PV aud. 4 p. 3 et 4). Ce n’est pas déterminant en l’état, puisque l’agent de sécurité a aussi reconnu le recourant comme étant la personne qui aurait en tout cas pris le porte-monnaie de L.________ et se serait enfui avec (PV aud. 5 p. 3). Partant, à ce stade de l’enquête, il y a lieu de considérer qu’il existe des soupçons sérieux de commission ou de participation à un brigandage qualifié, subsidiairement à un brigandage, voire à une agression.</w:t>
      </w:r>
    </w:p>
    <w:p>
      <w:r>
        <w:rPr>
          <w:b/>
        </w:rPr>
        <w:t>E. 4.1</w:t>
      </w:r>
    </w:p>
    <w:p>
      <w:r>
        <w:t>Le recourant conteste l’existence d’un risque de récidive, soutenant que l’on ne pourrait pas tenir compte des faits survenus le 24 juillet 2021 faisant l’objet d’une enquête en cours, puisqu’il ne serait pas soupçonné de les avoir commis avec une probabilité confinant à la certitude, citant à cet effet de la jurisprudence. Le recourant se prévaut au surplus d’un rapport établi par la Dre [...] et la psychologue [...], du Service de psychiatrie communautaire du CHUV, pour affirmer qu’il faudrait retenir un pronostic positif, compte tenu de l’encadrement dont il bénéficierait, soit notamment d’une mesure proposée par l’Office de l’assurance invalidité (OAI), d’un suivi thérapeutique psychiatrique et addictologique ainsi que d’un nouveau logement individuel (P. 22/2).</w:t>
      </w:r>
    </w:p>
    <w:p>
      <w:r>
        <w:t>- 8 -</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4.3</w:t>
      </w:r>
    </w:p>
    <w:p>
      <w:r>
        <w:t>En l’espèce, le recourant a été condamné il y a moins d’une année par le Tribunal des mineurs à une peine privative de liberté de 30 jours pour agression, tentative de vol et recel notamment. Il fait par ailleurs l’objet d’une enquête pour des faits survenus le 24 juillet 2021 pour lésions corporelles simples, menaces et injure (cf. rapport de police du 25 août 2021). Certes, le recourant conteste toute implication dans cette affaire. On doit cependant relever une propension du recourant et de son co-prévenu C.________ au mensonge, respectivement à la minimalisation de leurs actes. Les procès-verbaux d’audition sont éloquents à ce sujet, puisqu’ils ont tous deux nié avoir vu ou participé à une altercation la nuit des faits, prétendant ne pas savoir de quoi les policiers leur parlaient (PV aud. 2 R. 6 à 9 et PV aud. 3 R. 5 et 6). Quant aux faits présentement reprochés, ils concernent également l’intégrité corporelle d’autrui. Dans ces conditions et à ce stade, il faut retenir que le recourant présente une propension à la violence et une dangerosité certaine. En outre, il faut retenir une tendance à l’aggravation entre les</w:t>
      </w:r>
    </w:p>
    <w:p>
      <w:r>
        <w:t>- 10 - faits pour lesquels il a été condamné et ceux qui lui sont reprochés en l’espèce. Dans ces conditions et au vu des circonstances personnelles du recourant – qui est actuellement sans emploi, sans activité (bien qu’une mesure d’insertion professionnelle soit proposée par l’OAI, il ne l’a pas encore commencée), qui émarge aux services sociaux et qui admet avoir une addiction à l’alcool –, il faut émettre un pronostic défavorable et constater à ce stade qu’il existe un risque de réitération justifiant la détention provisoire.</w:t>
      </w:r>
    </w:p>
    <w:p>
      <w:r>
        <w:rPr>
          <w:b/>
        </w:rPr>
        <w:t>E. 5.1</w:t>
      </w:r>
    </w:p>
    <w:p>
      <w:r>
        <w:t>Le recourant soutient que des mesures de substitution à la détention seraient aptes à pallier le risque de récidive. Il propose d’être assigné à domicile de 22h à 6h, ce qui l’empêcherait de sortir et de participer à des soirées entre amis au cours desquelles il risquerait de s’alcooliser et/ou d’être astreint à un suivi thérapeutique en lien avec son addiction à l’alcool.</w:t>
      </w:r>
    </w:p>
    <w:p>
      <w:r>
        <w:rPr>
          <w:b/>
        </w:rPr>
        <w:t>E. 5.2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t>- 11 -</w:t>
      </w:r>
    </w:p>
    <w:p>
      <w:r>
        <w:rPr>
          <w:b/>
        </w:rPr>
        <w:t>E. 5.3</w:t>
      </w:r>
    </w:p>
    <w:p>
      <w:r>
        <w:t>En l’espèce, le risque retenu ne peut pas être paré par la mise en œuvre de mesures de substitution à la détention, en particulier par l’assignation à domicile et le suivi thérapeutique proposés. En effet, ces mesures, qui ne reposeraient que sur le sérieux et la volonté du recourant, qui n’a pas de cadre de vie sécurisant ni n’a démontré à ce stade être suffisamment digne de confiance, ne l’empêcheraient pas de commettre de nouvelles infractions de violence. Ainsi, un éventuel non-respect de ces mesures ne pourrait être que constaté a posteriori. Quant au fait qu’un traitement régulier pourrait permettre de diminuer le danger de récidive existant, il faut relever qu’il ne peut être ordonné par le juge de la détention que si toutes les conditions sont a priori assurées, puisqu’il relève en principe du juge du fond (TF 1B_91/2021 du 10 mars 2021 consid. 2.3 et les réf. citées). Or, en l’occurrence, il ressort du rapport du 9 septembre 2021 produit avec le recours que le recourant a identifié l’alcool « comme une problématique importante pour sa santé », mais qu’il n’a pas donné suite au suivi qui devait débuter auprès d’une psychologue à l’unité d’alcoologie (P. 22/2 p. 2). On ne sait pas avec certitude si cette problématique a eu lieu avec les faits qui lui sont reprochés. Il ressort encore dudit rapport que le suivi auprès de l’unité de réhabilitation a été très fluctuant, malgré les nombreux rappels, et qu’il était marqué par de nombreuses absences non justifiées (ibid. p. 1). On peut donc douter qu’une telle mesure soit suffisante. Au vu de ce qui précède, c’est à juste titre que le Tribunal des mesures de contrainte a considéré qu’au vu des biens juridiques en jeu, des mesures de substitution à la détention provisoire n’entraient en l’état pas en ligne de compte pour pallier le risque de récidive.</w:t>
      </w:r>
    </w:p>
    <w:p>
      <w:r>
        <w:rPr>
          <w:b/>
        </w:rPr>
        <w:t>E. 6</w:t>
      </w:r>
    </w:p>
    <w:p>
      <w:r>
        <w:t>Enfin, la durée de la détention provisoire est proportionnée aux charges pesant sur le prévenu et à la peine susceptible d’être prononcée en cas de condamnation pour les faits reprochés, qui pourraient être constitutifs de brigandage qualifié, subsidiairement de brigandage. Ainsi, le recourant s'expose concrètement à une peine privative de liberté</w:t>
      </w:r>
    </w:p>
    <w:p>
      <w:r>
        <w:t>- 12 - supérieure à la détention ordonnée, d’une durée de trois mois. Le principe de proportionnalité est donc respecté (art. 212 al. 3 CPP).</w:t>
      </w:r>
    </w:p>
    <w:p>
      <w:r>
        <w:rPr>
          <w:b/>
        </w:rPr>
        <w:t>E. 7</w:t>
      </w:r>
    </w:p>
    <w:p>
      <w:r>
        <w:t>Il résulte de ce qui précède que le recours, manifestement mal fondé, doit être rejeté sans échange d'écritures (art. 390 al. 2 CPP) et l'ordonnance entreprise confirmée. Vu le sort du recours, les frais de la procédure de recours, constitués de l’émolument d’arrêt, par 1’210 fr. (art. 20 al. 1 TFIP [tarif des frais de procédure et indemnités en matière pénale du 28 septembre 2010 ; BLV 312.03.1]), ainsi que des frais imputables à la défense d’office (art. 422 al. 1 et 2 let. a CPP), fixés à 594 fr. – qui comprennent des honoraires par 540 fr. (3 heures x 180 fr./h), des débours forfaitaires de 2 % par 10 fr. 80 (cf. art. 26b TFIP qui renvoie à l'art. 3bis RAJ [règlement sur l’assistance judiciaire en matière civile du 7 décembre 2010 ; BLV 211.02.3]) et la TVA sur le tout, au taux de 7,7%, par 42 fr. 45 [le tout arrondi] –,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6 septembre 2021 est confirmée. III. L’indemnité allouée à Me Giuliano Scuderi est fixée à 594 fr. (cinq cent nonante-quatre francs). IV. Les frais d'arrêt, par 1'210 fr. (mille deux cent dix francs), ainsi que l'indemnité allouée à Me Giuliano Scuderi, par 594 fr. (cinq</w:t>
      </w:r>
    </w:p>
    <w:p>
      <w:r>
        <w:t>- 13 - cent nonante-quatre francs), sont mis à la charge du recourant I.________. V. Le remboursement à l'Etat de l'indemnité allouée sous chiffre III ci-dessus ne sera exigible d’I.________ que pour autant que sa situation financière le permette. VI. L’arrêt est exécutoire. Le président : La greffière : Du Le présent arrêt, dont la rédaction a été approuvée à huis clos, est notifié, par l'envoi d'une copie complète, à : - Me Giuliano Scuderi, avocat (pour I.________), - Ministère public central, et communiqué à : - Mme la Présidente du Tribunal des mesures de contrainte, - Mme la Procureure de l’arrondissement de Lausanne,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- 14 -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