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PE21.015210 vom 16. September 2021</w:t>
      </w:r>
    </w:p>
    <w:p>
      <w:r>
        <w:t>VD Tribunal cantonal, 2021-09-16, FR</w:t>
      </w:r>
    </w:p>
    <w:p>
      <w:r>
        <w:rPr>
          <w:b/>
        </w:rPr>
        <w:t xml:space="preserve">Quelle: </w:t>
      </w:r>
      <w:r>
        <w:t>https://mcp.opencaselaw.ch/entscheid/vd_gerichte_PE21.015210</w:t>
      </w:r>
    </w:p>
    <w:p>
      <w:r>
        <w:t>FR: VD_GERICHTE PE21.015210 du 16 septembre 2021</w:t>
      </w:r>
    </w:p>
    <w:p>
      <w:r>
        <w:t>IT: VD_GERICHTE PE21.015210 del 16 settembre 2021</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w:t>
      </w:r>
    </w:p>
    <w:p>
      <w:r>
        <w:t>- 6 - compromette sérieusement la sécurité d’autrui par des crimes ou des délits graves après avoir déjà commis des infractions du même genre (let. c).</w:t>
      </w:r>
    </w:p>
    <w:p>
      <w:r>
        <w:rPr>
          <w:b/>
        </w:rPr>
        <w:t>E. 3.1</w:t>
      </w:r>
    </w:p>
    <w:p>
      <w:r>
        <w:t>Le recourant conteste en premier lieu l’existence de soupçons suffisants à son encontre. Il fait en particulier valoir que s’il fréquente P.________ et dort parfois dans sa chambre, où des objets douteux ont été retrouvés, cela ne signifie pas encore qu’il aurait commis des vols avec ce dernier.</w:t>
      </w:r>
    </w:p>
    <w:p>
      <w:r>
        <w:rPr>
          <w:b/>
        </w:rPr>
        <w:t>E. 3.2</w:t>
      </w:r>
    </w:p>
    <w:p>
      <w:r>
        <w:t>La détention provisoire suppose que le prévenu soit fortement soupçonné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ATF 143 IV 316 consid. 3.1 et 3.2; TF 1B_413/2019 du 11 septembre 2019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3.3</w:t>
      </w:r>
    </w:p>
    <w:p>
      <w:r>
        <w:t>En l’espèce, il ressort du rapport d’investigation de la police du 1er septembre 2021 que les recherches effectuées ont permis d’établir que divers cas de vols commis dans la région pouvaient être imputés à un groupe de quatre individus algériens résidant au centre</w:t>
      </w:r>
    </w:p>
    <w:p>
      <w:r>
        <w:t>- 7 - EVAM de Vevey. Lors de la perquisition menée dans la chambre de P.________, le 1er septembre 2021, les policiers ont interpellé le recourant qui y dormait. Ces derniers ont saisi un certain nombre d’objets de provenance douteuse, notamment du matériel informatique, des bijoux et un porte-monnaie Louis Vuitton (P. 7). A cela s’ajoute que la fouille de la chambre de G.________ a révélé la découverte de plusieurs objets également de provenance douteuse, soit des paires de lunettes, une montre Swatch et plusieurs paires de chaussures de pointures différentes. Au vu de ce qui précède, il est très vraisemblable que G.________ soit associé aux actes délictueux reprochés à P.________. C’est donc à juste titre que le Tribunal des mesures de contrainte a considéré qu’il existait, à ce stade, des soupçons suffisants de la commission d’infractions par G.________. Par ailleurs, on rappellera qu’il n’appartient pas au juge de la détention de procéder à une pesée complète des éléments à charge et à décharge.</w:t>
      </w:r>
    </w:p>
    <w:p>
      <w:r>
        <w:rPr>
          <w:b/>
        </w:rPr>
        <w:t>E. 4.1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Pour établir le pronostic de récidive, les critères déterminants sont la fréquence et l'intensité des infractions poursuivies. Cette évaluation doit prendre en compte une éventuelle tendance à l'aggravation telle qu'une intensification de</w:t>
      </w:r>
    </w:p>
    <w:p>
      <w:r>
        <w:t>- 8 - l'activité délictuelle, une escalade de la violence ou une augmentation de la fréquence des agissements. Les caractéristiques personnelles du prévenu doivent en outre être évaluées (ATF 143 IV 9 consid. 2.8 et les références).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1B_182/2020 du 4 mai 2020 consid. 5.1).</w:t>
      </w:r>
    </w:p>
    <w:p>
      <w:r>
        <w:rPr>
          <w:b/>
        </w:rPr>
        <w:t>E. 4.2</w:t>
      </w:r>
    </w:p>
    <w:p>
      <w:r>
        <w:t>En l’occurrence, G.________ a été condamné à 15 reprises entre le 19 janvier 2014 et le 17 décembre 2020, principalement pour des infractions contre le patrimoine et en relation avec son absence d’autorisation de séjour dans notre pays. Ainsi, la simple lecture de son casier judiciaire suffit à convaincre qu’il présente manifestement un risque de réitération. A cela s’ajoute que deux autres enquêtes sont actuellement ouvertes à son encontre, l’une auprès du Ministère public de l’Est vaudois, l’autre dans le canton de Berne. C’est également le lieu de rappeler que son statut de multirécidiviste l’a conduit à faire l’objet d’une mesure d’expulsion du territoire helvétique, prononcée en 2018. Il faut ainsi bien admettre que ni les décisions pénales rendues à son encontre ni les peines privatives de liberté qu’il a dû purger n’ont eu l’effet préventif escompté. A cela s’ajoute le fait que sa situation financière est très précaire et, comme l’a relevé le Tribunal des mesures de contrainte, les infractions contre le</w:t>
      </w:r>
    </w:p>
    <w:p>
      <w:r>
        <w:t>- 9 - patrimoine que l’intéressé commet paraissent être son principal – voire seul – moyen de subsistance. Dès lors, seul un pronostic défavorable peut être posé. Au vu de ce qui précède, c’est à juste titre que le Tribunal des mesures de contrainte a retenu qu’il existait un risque de réitération. On relèvera par ailleurs que ce risque a été retenu et motivé tant par le procureur que par le tribunal, mais que le recourant ne le discute pas dans son écriture.</w:t>
      </w:r>
    </w:p>
    <w:p>
      <w:r>
        <w:rPr>
          <w:b/>
        </w:rPr>
        <w:t>E. 5</w:t>
      </w:r>
    </w:p>
    <w:p>
      <w:r>
        <w:t>Les motifs fondant la détention provisoire étant alternatifs (TF 1B_249/2011 du 7 juin 2011 consid. 2.4), l’existence du risque de réitération dispense d’examiner si la détention provisoire se justifie également en raison des risques de fuite ou de collusion.</w:t>
      </w:r>
    </w:p>
    <w:p>
      <w:r>
        <w:rPr>
          <w:b/>
        </w:rPr>
        <w:t>E. 6</w:t>
      </w:r>
    </w:p>
    <w:p>
      <w:r>
        <w:t>Le recourant ne requiert pas d’être mis au bénéfice de mesures de substitution, et à ce stade très précoce de l’enquête, on ne voit pas quelles pourraient être les mesures susceptibles de parer au risque de récidive retenu.</w:t>
      </w:r>
    </w:p>
    <w:p>
      <w:r>
        <w:rPr>
          <w:b/>
        </w:rPr>
        <w:t>E. 7</w:t>
      </w:r>
    </w:p>
    <w:p>
      <w:r>
        <w:t>Pour le surplus, le recourant est détenu depuis le 1er septembre 2021, soit depuis moins de trois semaines. Compte tenu des infractions qui lui sont reprochées, soit vol par métier, utilisation frauduleuse d’un ordinateur, recel et infraction à la LEI, il s'expose à une peine privative de liberté d’une durée supérieure à celle de la détention subie à ce jour, étant précisé que l’infraction de vol par métier est à elle seule punissable d’une peine privative de liberté de 10 ans au plus et de 90 jours-amende au moins (art. 139 ch. 1 et 2 CP). Ainsi, au vu de ce qui précède, des opérations d’enquête annoncées par la direction de la procédure – en lien avec les différents objets retrouvés dans le logement où G.________ avait été interpellé –, et des antécédents de G.________, la durée de la détention ordonnée est proportionnée.</w:t>
      </w:r>
    </w:p>
    <w:p>
      <w:r>
        <w:rPr>
          <w:b/>
        </w:rPr>
        <w:t>E. 8</w:t>
      </w:r>
    </w:p>
    <w:p>
      <w:r>
        <w:t>Il résulte de ce qui précède que le recours, manifestement mal fondé, doit être rejeté sans échange d’écritures et l'ordonnance attaquée confirmée.</w:t>
      </w:r>
    </w:p>
    <w:p>
      <w:r>
        <w:t>- 10 - L’indemnité due au défenseur d’office de G.________ doit être arrêtée à 396 fr. en chiffres arrondis, soit 2 heures de travail d’avocat nécessaires au tarif horaire de 180 fr., auxquels s’ajoutent des débours forfaitaires à concurrence de 2 % (art. 3bis al. 1 RAJ [Règlement sur l'assistance judiciaire en matière civile du 7 décembre 2010 ; BLV 211.02.3], applicable par renvoi de l’art. 26b TFIP), par 7 fr. 20 ainsi que la TVA, par 28 fr. 25. Les frais de la procédure de recours, constitués en l’espèce de l’émolument d'arrêt, par 990 fr. (art. 20 al. 1 TFIP [tarif des frais de procédure et indemnités en matière pénale du 28 septembre 2010; BLV 312.03.1]), et des frais imputables à la défense d’office (art. 422 al. 1 et 2 let. a CPP), fixés à 396 fr.,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3 septembre 2021 est confirmée. III. L’indemnité allouée au défenseur d’office de G.________ est fixée à 396 fr. (trois cent nonante-six francs). IV. Les frais d'arrêt, par 990 fr. (neuf cent nonante francs), ainsi que l'indemnité allouée au défenseur d'office du recourant, par 396 fr. (trois cent nonante-six francs), sont mis à la charge de G.________.</w:t>
      </w:r>
    </w:p>
    <w:p>
      <w:r>
        <w:t>- 11 - V. Le remboursement à l'Etat de l’indemnité allouée au chiffre III ci-dessus ne sera exigible que pour autant que la situation financière de G.________ le permette. VI. L’arrêt est exécutoire. Le président : La greffière : Du Le présent arrêt, dont la rédaction a été approuvée à huis clos, est notifié, par l'envoi d'une copie complète, à : - Me Laurence Krayenbühl, avocate (pour G.________), - Ministère public central, et communiqué à : - Mme la Présidente du Tribunal des mesures de contrainte, - M. le Procureur cantonal Strada,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