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PE21.015024 vom 3. September 2024</w:t>
      </w:r>
    </w:p>
    <w:p>
      <w:r>
        <w:t>VD Tribunal cantonal, 2024-09-03, FR</w:t>
      </w:r>
    </w:p>
    <w:p>
      <w:r>
        <w:rPr>
          <w:b/>
        </w:rPr>
        <w:t xml:space="preserve">Quelle: </w:t>
      </w:r>
      <w:r>
        <w:t>https://mcp.opencaselaw.ch/entscheid/vd_gerichte_PE21.015024</w:t>
      </w:r>
    </w:p>
    <w:p>
      <w:r>
        <w:t>FR: VD_GERICHTE PE21.015024 du 3 septembre 2024</w:t>
      </w:r>
    </w:p>
    <w:p>
      <w:r>
        <w:t>IT: VD_GERICHTE PE21.015024 del 3 settembre 2024</w:t>
      </w:r>
    </w:p>
    <w:p>
      <w:pPr>
        <w:pStyle w:val="Heading2"/>
      </w:pPr>
      <w:r>
        <w:t>Erwägungen</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w:t>
      </w:r>
    </w:p>
    <w:p>
      <w:r>
        <w:t>- 18 -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w:t>
      </w:r>
    </w:p>
    <w:p>
      <w:r>
        <w:t>- 19 -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3.1.2 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- 20 -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précité).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TF 6B_159/2020 précité). Le viol et la contrainte sexuelle supposent l’emploi d’un moyen de contrainte. Il s’agit notamment de l’usage de la violence. Celle-ci désigne l’emploi volontaire de la force physique sur la personne de la victime dans le but de la faire céder (ATF 122 IV 97 précité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w:t>
      </w:r>
    </w:p>
    <w:p>
      <w:r>
        <w:t>- 21 - habits ou de lui tordre un bras derrière le dos (TF 6B_995/2020 précité consid. 2.1 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précité consid. 2.2 ; TF 6B_1265/2019 du 9 avril 2020 consid. 3.3.2 publié à l’ATF 146 IV 153).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107 précité consid. 2.2 ; TF 6B_1307/2020 du 19 juillet 2021 consid. 2.1 ; TF 6B_146/2020 du 5 mai 2020 consid. 2.1).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(TF 6B_1307/2020 précité consid. 2.1 ; TF 6B_204/2019 du 15 mai 2019 consid. 6.1 ; TF 6B_583/2017 du 20 décembre 2017 consid. 3.1). Sous réserve de la résistance accrue d’un adulte en pleine possession de ses facultés, les mêmes principes valent que</w:t>
      </w:r>
    </w:p>
    <w:p>
      <w:r>
        <w:t>- 22 - la victime soit adulte ou enfant (ATF 126 IV 124 précité consid. 3d ; TF 6B_1307/2020 précité consid. 2.1 ; TF 6B_583/2017 précité consid. 3.1).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3.2.1</w:t>
      </w:r>
    </w:p>
    <w:p>
      <w:r>
        <w:t>En l’espèce, s’agissant de la crédibilité de F.________, les premiers juges ont considéré que les circonstances du dévoilement des faits, dans le cadre de discussions entre F.________ et ses amies, avant d’aboutir finalement au dépôt de plainte, étaient de nature à rendre le récit des uns et des autres crédible. Quant aux faits survenus durant la soirée du 28 au 29 décembre 2020, la plaignante n’avait pas caché qu'elle ne s'était – dans un premier temps – pas rendue compte de la gravité de ce qui s'était passé ce soir-là et que ce n'était que par la suite, en parlant avec des amies ayant vécu le même genre de situation, qu'elle avait réalisé que cet acte ne devait pas être banalisé, qu'elle avait trouvé le courage d'en parler à ses parents et qu'elle s'était finalement sentie capable de dénoncer ce comportement. Au contraire de ce que soutient l’appelant, les premiers juges ont vu un indice de crédibilité supplémentaire de cette victime dans le fait qu’elle n’avait nullement cherché à cacher que certains éléments de</w:t>
      </w:r>
    </w:p>
    <w:p>
      <w:r>
        <w:t>- 23 - fait ne lui étaient revenus que sur la base du récit de tiers, ce qui est au demeurant cohérant avec le mécanisme courant chez une victime d’abus sexuels de refoulement de souvenirs ou de faits traumatisants. Ils ont en outre relevé qu’il ne ressortait pas du témoignage de T.________ une volonté d’accabler l’appelant. Enfin, ils ont estimé que les émotions extrêmement fortes encore ressenties par la plaignante en lien avec les faits qu’elle avait subis ajoutaient à sa crédibilité (cf. jgmt, pp. 45-46). Cette appréciation ne prête pas le flanc à la critique et doit être confirmée. F.________ a, dans son audition-plainte le 28 mars 2021 (PV aud. 1), parlé d'abord du comportement général de l’appelant, et non directement les faits de la soirée du 28 au 29 décembre 2020. Elle a expliqué que l’appelant avait un comportement toujours très tactile avec les filles, qu'il laissait traîner ses mains un peu partout sur le corps des filles, les touchant sur leurs parties intimes, les fesses et les seins. Elle a indiqué qu'il faisait ça pour rigoler et que même si on lui disait clairement non, il ignorait en général ce qu'on lui disait ou répondait qu'il s'en foutait et qu'il faisait ce qu'il voulait. Il s'agit d'éléments qu'elle a constatés. Elle est très claire et rejoint d'autres personnes entendues sur ces points. Pour les faits survenus dans la soirée du 28 au 29 décembre 2020, c’est à juste titre que les premiers juges ont retenu que lors de l'audition-plainte, la plaignante avait fait aussi clairement que possible la distinction entre les actes qu'elle avait subis sous la contrainte physique, ceux qu'elle avait endurés dans un état de sidération et le fait qu'ils s'étaient embrassés sans qu'elle puisse dire qu'il l'avait forcée à ce moment-là (PV aud. 1 pp. 1-2). Il n'y a aucune exagération ou incohérence. On voit qu'elle donne beaucoup de détails (PV aud. 14) et indique clairement que les seules choses que T.________ lui a rappelées, c'est que l’appelant avait fait des mouvements sur son training pour lui toucher le sexe (PV aud. 14, l. 62 ss p. 2). Elle se souvient aussi que T.________ la regardait. Elle apparaît parfaitement sincère et explique aussi qu'elle n'a jamais subi de violence ou de coup. La lecture de ses déclarations est parfaitement convaincante et on n’y décèle aucune trace d'un discours</w:t>
      </w:r>
    </w:p>
    <w:p>
      <w:r>
        <w:t>- 24 - construit ou reconstitué sur la base de ce que T.________ lui aurait rapporté. Comme déjà évoqué, le fait que certains éléments des évènements n’étaient revenus en mémoire de la plaignante que sur la base du récit de tiers n'est pas surprenant, compte tenu du mécanisme courant chez une victime d'abus sexuels de refoulement de souvenirs ou de faits traumatisants. C’est à tort que l’appelant affirme qu’en raison de l’état de sidération de sa victime, il ne pouvait se rendre compte du fait qu’elle n’était pas consentante. Les nombreux gestes de la plaignante pour le repousser (cf. PV aud 1, 4 et 14) devaient sans équivoque être compris comme un refus de cette dernière. En outre, à suivre l’argument du recourant, l’infraction de contrainte sexuelle devrait être écartée de manière presque systématique tant il est avéré que les victimes de contrainte sexuelle se trouvent très souvent dans l’état de sidération décrit par la plaignante. En reprenant le témoignage de M.________ (PV aud. 3) mentionné par l'appelant, force est de constater que rien ne contredit le récit de la plaignante, bien au contraire. M.________ n'était pas présente à la soirée et a entendu le récit de F.________ et surtout de son amie [...] deux ou trois semaines après les faits. Il s'agit donc d'un discours rapporté. Le récit rapporté de F.________ correspond à ce qu'elle a déclaré en procédure en indiquant qu'elle ne savait plus « s’il avait mis les mains dans les ouvertures » et qu'elle « n'avait pas réalisé sur le moment ce qui s'était passé », étant précisé que cette phrase, sortie de son contexte par l'appelant, peut aussi être interprétée comme « je n'ai pas réalisé qu'il avait commis un attouchement sur mon sexe » ou « je n'ai pas réalisé que j'avais subi quelque chose de repréhensible sur le moment ». F.________ a toutefois été parfaitement claire sur le fait qu'elle a subi des attouchements sur les fesses, la poitrine et le vagin par-dessus les habits, qu'elle résistait, mais n'arrivait pas à s'en débarrasser et qui lui a mordu l'oreille et cassé sa boucle d'oreille ce qui a mis fin à la scène (PV aud. 1 et 14). Ces éléments correspondent aux autres déclarations de F.________ qui ne se borne pas à rapporter le récit de T.________.</w:t>
      </w:r>
    </w:p>
    <w:p>
      <w:r>
        <w:t>- 25 - S'agissant du témoin T.________, son récit doit également être considéré comme crédible (PV aud. 4). Il ne contient aucune trace de volonté d'accabler l’appelant. Il s'est abstenu en particulier d'affirmer que F.________ aurait subi une contrainte physique forte, mais exprime son inconfort lors de la scène qu'il a observée. Il indique notamment qu'il ne se souvenait pas avoir entendu F.________ dire à l’appelant d'arrêter et qu'elle ne se défendait pas au moment où ils ont commencé à se « galocher ». Le témoin précise que lorsqu'il a demandé, par la suite, à F.________ ce qu'elle pensait de ce qui s'était passé, elle semblait ne pas se souvenir de tout et a été choquée lorsqu'il lui a expliqué ce qu'il avait vu. Ce témoin précise encore que d'autres filles ont dit que l’appelant les forçait, les embrassant notamment, même si elles n'étaient pas d'accord, mais que lui n'y a jamais assisté autrement que pour la plaignante. Il indique aussi les gestes clairs de F.________ pour repousser les caresses (« elle essayait de repousser sa main, mais il continuait et il semblait la forcer », « elle a essayé de se relever plusieurs fois, mais il la retenait »). Ses déclarations sont, elles aussi, particulièrement crédibles. Contrairement à ce qu'affirme l'appelant, T.________ n'indique pas que F.________ n'avait aucun souvenir des faits et qu'il a dû tout lui rappeler. Il a déclaré « elle semblait ne pas se souvenir de tout et je lui ai expliqué ce que j'avais vu. Elle a été choquée, notamment du fait qu'elle n'avait aucune intention de sortir avec X.________. Elle ne se rendait pas compte qu'il avait été si loin dans les gestes » (PV aud. 4, R. 5). Ces déclarations ne sont pas incompatibles avec la version de F.________ et vont bien moins loin que ce qui est sous-entendu par l'appelant. Peu importe également que T.________ ait déclaré s'être rendu compte le lendemain des faits, lorsqu'il était sobre, que c'était anormal et qu'il dise ne pas être intervenu parce qu'il ne comprenait pas ce qu'il se passait à ce moment-là. La scène a suffisamment été choquante pour le marquer et pour qu'il y réfléchisse, sans forcément réagir immédiatement. Compte tenu du contexte déluré de ce groupe, on peut plutôt y voir un signe que les choses sont allées assez loin pour qu'il soit heurté et le fait qu'il n'ait pas agi immédiatement traduit aussi une certaine pondération du témoin.</w:t>
      </w:r>
    </w:p>
    <w:p>
      <w:r>
        <w:t>- 26 - Quant à l'attestation établie par la psychologue de F.________ (P. 18/2), on ne sait pas dans quel contexte la thérapeute a entendu deux amies et deux amis de F.________. Il n'est pas exclu qu'elle suive d'autres membres du groupe. Pour le reste, le rapport médical correspond à ce que l'on peut attendre d'un certificat de psychologue et décrit le traumatisme subi par la victime, amplifié par des provocations de l’appelant. A aucun moment cette professionnelle ne remet en question la crédibilité de la victime ou de son récit. Elle atteste de la réalité d'un traumatisme subi. A cet égard, les premiers juges ont d'ailleurs souligné qu'à l'audience, la plaignante ressentait toujours des émotions extrêmement fortes lorsqu'elle était amenée à reparler des faits qu'elle a subis et de ce que cela a provoqué chez elle. On peut aussi souligner que les autres victimes n'ont pas déposé plainte et n'avaient a priori aucun intérêt à se lancer dans une croisade contre l'appelant, contrairement à ce qu’il semble prétendre lorsqu’il évoque une cabale pour l’exclure du groupe. Encore une fois, il n'est pas commun que dix victimes dénoncent des comportements similaires de manière si concordante. Enfin, le grief fait à F.________ d'avoir continué à sortir après les faits dénoncés et à boire de l'alcool (PV aud. 17) est sans pertinence tant il revient à dénier à la victime le droit d'avancer et de continuer à vivre sa vie d’adolescente avec son groupe d'amis.</w:t>
      </w:r>
    </w:p>
    <w:p>
      <w:r>
        <w:rPr>
          <w:b/>
        </w:rPr>
        <w:t>E. 3.2.2</w:t>
      </w:r>
    </w:p>
    <w:p>
      <w:r>
        <w:t>Concernant A.________, les premiers juges l’ont également considérée comme sincère et crédible lors de son audition aux débats, montrant elle aussi une forte émotion en devant reparler de ce qu'elle avait subi. Sa crédibilité est apparue d'autant plus évidente aux yeux des magistrats qu'elle n'avait pas déposé plainte et qu'elle avait expliqué avoir été très proche de l’appelant, de telle sorte qu'elle avait particulièrement mal vécu ce qu'il lui avait fait (cf. jgmt, p. 47). Là encore, il n’y a pas lieu de s’écarter de l’appréciation des premiers juges. En effet, l’audition de A.________ est parfaitement parlante, cette dernière tenant un discours claire et cohérent, avec une foule de</w:t>
      </w:r>
    </w:p>
    <w:p>
      <w:r>
        <w:t>- 27 - détails (PV aud. 8). Elle l'a confirmé aux débats de première instance (cf. jgmt, p. 14) précisant que ses déclarations n'avaient pas été influencées par ses discussions avec d'autres personnes et qu'elle avait renoncé à porter plainte par manque de temps et d'énergie. Il est juste que A.________ a parlé d'un épisode qu'elle n'avait pas mentionné avant, soit le fait que l’appelant, la première fois qu'elle l'avait rencontré, lui avait mis les doigts dans la bouche avec une connotation sexuelle. On n’y voit toutefois rien qui décrédibiliserait ses déclarations concernant les faits de la présente cause. Par ailleurs, A.________ n'a pas varié dans ses explications. Elle a également expliqué qu'elle en avait reparlé plusieurs fois avec l’appelant, avant les faits de décembre 2020 au préjudice de F.________, et qu’il s'était excusé. L'appelant admet avoir présenté ses excuses, ce qui démontre – même s’il le conteste en appel – qu’il était conscient que son comportement n’était pas acceptable.</w:t>
      </w:r>
    </w:p>
    <w:p>
      <w:r>
        <w:rPr>
          <w:b/>
        </w:rPr>
        <w:t>E. 3.2.3</w:t>
      </w:r>
    </w:p>
    <w:p>
      <w:r>
        <w:t>S’agissant ensuite de W.________, c’est sans arbitraire que les premiers juges ont considéré que les attouchements sur les fesses imposés par l’appelant, tels que décrits par cette dernière (PV aud. 16), devaient être considérés comme des actes d'ordre sexuel au sens de la loi. En effet, compte tenu de l'ensemble du dossier et du comportement de l’appelant, la connotation sexuelle de ces gestes est indubitablement claire. Ces mêmes gestes étaient en outre de nature à mettre en danger le développement des jeunes filles qui en ont été victimes, d'autant plus qu'ils étaient imposés à des mineures de moins de 16 ans, malgré leur demande expresse d'arrêter. On rappellera que l'appelant était plus âgé que le reste du groupe et qu'il avait une stature imposante. La plaignante a expliqué qu’elle avait peur de lui et qu’elle n’osait pas lui résister (PV aud. 1 et 14). On voit aussi à la lecture de l'audition de W.________ qu'il disait faire ça pour rigoler, mais ne faisait rigoler que lui, qu'il touchait toutes les filles de la même façon et que ce n'était pas réciproque, mais dérangeant. W.________ indique encore qu'avec le temps, elle ne réagissait plus (PV aud. 16). Quant à la menace employée par l’appelant, il ne s'agit certes pas d'une menace crasse : ce dernier a menacé de divulguer une</w:t>
      </w:r>
    </w:p>
    <w:p>
      <w:r>
        <w:t>- 28 - conversation où W.________ confie à ses amies avoir eu des idées suicidaires. Toutefois, et comme le dit justement le tribunal de première instance (cf. jgmt, p. 51), à l'ère des réseaux sociaux et du harcèlement entre jeunes, W.________, qui était alors une jeune adolescente en construction, avait toutes les raisons d'avoir très peur face à la possibilité que l’appelant puisse parler de son secret à des tiers. W.________ a encore expliqué que ses parents n'étaient pas au courant et qu'elle ne voulait pas qu'ils le sachent. Elle a ensuite précisé qu'elle voulait en réalité que personne ne le sache (PV aud. 16, p. 5). Dans ces circonstances, la menace de divulguer des idées suicidaires pour une adolescente était à même de la conduire à ne pas se défendre, ce dont l’appelant était parfaitement conscient.</w:t>
      </w:r>
    </w:p>
    <w:p>
      <w:r>
        <w:rPr>
          <w:b/>
        </w:rPr>
        <w:t>E. 3.2.4</w:t>
      </w:r>
    </w:p>
    <w:p>
      <w:r>
        <w:t>Au vu de l’ensemble des éléments qui précèdent, les premiers juges n’ont pas établi de façon arbitraire, incomplète ou erronée l’état de fait en reprenant les faits tels qu'ils ressortent des déclarations de F.________, de A.________ et de W.________, ainsi que dans l'acte d'accusation. Il ne subsiste en outre aucun doute sur le fait que l’appelant était conscient de l’absence de consentement de F.________ et de ses autres victimes lorsqu’il leur a imposé les actes d’ordre sexuel objets de la présente procédure. Enfin, il convient de confirmer que les actes imposés à la plaignante, respectivement à A.________ et à W.________ sont constitutifs de l’infraction de contrainte sexuelle au sens de l’art. 189 CP. L’appel, mal fondé, doit être rejeté sur ce point.</w:t>
      </w:r>
    </w:p>
    <w:p>
      <w:r>
        <w:rPr>
          <w:b/>
        </w:rPr>
        <w:t>E. 4</w:t>
      </w:r>
    </w:p>
    <w:p>
      <w:r>
        <w:t>S’agissant toujours des faits qui lui sont reprochés à l’encontre de W.________, l’appelant invoque une violation du principe d'accusation (art. 9 et 325 CPP) en lien avec l'infraction de contrainte sexuelle (art. 189 CP). Il estime que les premiers juges ont violé le principe d'accusation en considérant « qu’à l'aire des réseaux sociaux et du fléau du harcèlement entre jeunes, W.________ avait toutes les raisons d'avoir très peur face à la possibilité que X.________ puisse parler de son « secret » à des tiers » (cf. jgmt, p. 51).</w:t>
      </w:r>
    </w:p>
    <w:p>
      <w:r>
        <w:t>- 29 -</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147 IV 505 consid. 2.1 ; TF 6B_797/2023 et TF 6B_809/2023 du 29 novembre 2023 consid. 4.1). La doctrine et la jurisprudence font preuve d’une certaine souplesse s’agissant de la description des éléments constitutifs subjectifs de l’infraction dans l’acte d’accusation. Ainsi, le principe de l’accusation n’exige pas que l’acte d’accusation décrive de manière précise l’ensemble des éléments déterminant l’aspect subjectif d’une infraction qui ne peut être qu’intentionnelle. Lorsqu’une infraction a été commise intentionnellement, celui-ci pourra donc simplement indiquer que le prévenu a agi « intentionnellement », ou avec « conscience et volonté », sans que l’état d’esprit de l’auteur n’ait besoin d’être précisé (ATF 143 IV</w:t>
      </w:r>
    </w:p>
    <w:p>
      <w:r>
        <w:t>- 30 - 63 consid. 2.3 ; Schubarth/Graa, in : Commentaire romand, Code de procédure pénale suisse, 2e éd., Bâle 2019, n. 51 ad art. 325 CPP).</w:t>
      </w:r>
    </w:p>
    <w:p>
      <w:r>
        <w:rPr>
          <w:b/>
        </w:rPr>
        <w:t>E. 4.2</w:t>
      </w:r>
    </w:p>
    <w:p>
      <w:r>
        <w:t>En l’espèce, l’acte d'accusation évoque la menace « de divulguer à des tiers le contenu d'une conversation qu'il avait écoutée », ce qui est suffisant du point de vue de la maxime de l'accusation. En procédant à une appréciation globale des circonstances concrètes déterminantes, les premiers juges ont tenu compte des moyens de diffusion et de divulgation actuels communément utilisés chez les adolescents. Il n’y a là aucune violation du principe d'accusation et l’appel, mal fondé, doit être rejeté sur ce point également.</w:t>
      </w:r>
    </w:p>
    <w:p>
      <w:r>
        <w:rPr>
          <w:b/>
        </w:rPr>
        <w:t>E. 5</w:t>
      </w:r>
    </w:p>
    <w:p>
      <w:r>
        <w:t>L’appelant considère que les premiers juges ont violé l'art. 187 CP. Il soutient que les gestes qui lui sont reprochés sont des gestes furtifs, dans le cadre d'un groupe de jeunes où le fait de se toucher les fesses était courant. Compte tenu de l'ensemble des circonstances, en particulier de la faible différence d'âge entre les intéressés, du contexte dans lequel les actes ont été commis et de la furtivité de ceux-ci, il estime que les faits reprochés par P.________, M.________, N.________, et J.________ ne sont pas constitutifs d'actes d'ordre sexuel au sens de l'art. 187 CP.</w:t>
      </w:r>
    </w:p>
    <w:p>
      <w:r>
        <w:rPr>
          <w:b/>
        </w:rPr>
        <w:t>E. 5.1</w:t>
      </w:r>
    </w:p>
    <w:p>
      <w:r>
        <w:t>L'art. 187 CP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p. 719 n. 4 ad art. 187 CP ; Rehberg/Schmid/Donatsch, Strafrecht III, 8e éd., p. 404 ; Jenny, Kommentar zum schweizerisches Strafgesetzbuch, Bes. Teil., vol. 4, Berne 1997, p. 24, n. 6 ad art. 187 CP). Par acte d'ordre sexuel, il faut entendre une activité corporelle sur soi-même ou sur autrui qui tend à l'excitation ou à la jouissance</w:t>
      </w:r>
    </w:p>
    <w:p>
      <w:r>
        <w:t>- 31 - sexuelle de l'un des participants au moins (Corboz, op. cit., p. 719, n. 6 ad art. 187 CP ; Rehberg/Schmid/Donatsch,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p. 720 n. 7 ad art. 187 CP). Selon la doctrine, un baiser sur la bouche ou une tape sur les fesses sont des actes insignifiants (Corboz, op. cit. p. 721 n. 10 ad art. 187 CP ; Trechsel, Schweizerisches Strafgesetzbuch, Kurzkommentar 2e éd., n. 6 ad art. 187 CP). En revanche, un baiser lingual (Corboz, op. cit., p. 721 n. 11 ad art. 187 ; Trechsel, op. cit., loc. cit.) ou des baisers insistants sur la bouche (ATF 125 IV 58 consid. 3b)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l'art. 198 al. 2 CP (Corboz, op. cit., p. 720 n. 7 ad art. 187 CP).</w:t>
      </w:r>
    </w:p>
    <w:p>
      <w:r>
        <w:rPr>
          <w:b/>
        </w:rPr>
        <w:t>E. 5.2</w:t>
      </w:r>
    </w:p>
    <w:p>
      <w:r>
        <w:t>En l'occurrence, les victimes sont des adolescentes, qui sont considérées, s'agissant de l'art. 187 CP, comme des enfants. Dans ce contexte, l'existence d'un acte d'ordre sexuel est admis, même pour des attouchements furtifs par-dessus les habits. Par ailleurs, l'appelant était</w:t>
      </w:r>
    </w:p>
    <w:p>
      <w:r>
        <w:t>- 32 - plus âgé que les autres membres du groupe et devait donc avoir plus de retenue. Les adolescentes en question avaient 14 ans. Souvent, l’appelant ne s'est pas contenté de simples tapes sur les fesses, et a accompagné ses attouchements par d'autres gestes connotés, en touchant les seins, en cherchant à toucher le sexe ou en touchant les hanches. L'appelant mettait tout le monde mal à l'aise, y compris les garçons du groupe, et ses gestes répétés, dans le cadre de fêtes alcoolisées, avaient une connotation sexuelle claire. Ils étaient de nature à perturber les jeunes filles qui en ont été victimes. Toutes ont décrit un refus, une résistance ou un sentiment de mal-être. Certaines ont été très émues à l'évocation de ces gestes et ont fait part de leur difficulté à résister face à une personne « lourde » et insistante. Contrairement à ce que pense l'appelant, les déclarations de [...] sont parfaitement relevantes à cet égard. Il indique que ce dernier « embrassait les filles par surprise » que « c’était assez fréquent », qu’il ne « comprenait pas trop ce comportement » de l’appelant et que c’était pour cela qu’il s’était « éloigné » du groupe. Ces déclarations démontrent que le comportement de l’appelant choquait les hommes aussi, même amis (PV aud. 17). Au vu des déclarations des autres jeunes filles entendues, il faut retenir que l’appelant abusait de sa stature et de son âge pour commettre des attouchements, pour la plupart non consentis. Ses victimes n'osaient pas réellement réagir ou alors refusaient de façon peu convaincante ses gestes déplacés, ce qui l'incitait à les poursuivre. Enfin, et contrairement à ce que prétend l'appelant, son comportement était objectivement connoté sexuellement. Peu importe dès lors sa motivation ou qu'il prétende avoir agi pour rire. Ce qui est déterminant, c'est qu’il a de façon répétée touché les fesses de jeunes adolescentes, en accompagnant souvent d'ailleurs ce geste d'autres attouchements, de remarques ou de propos déplacés, voire d'autres comportement plus caractérisés, notamment vis-à-vis de P.________ (cf. ch.</w:t>
      </w:r>
    </w:p>
    <w:p>
      <w:r>
        <w:t>- 33 - 2.3 supra), dont la connotation sexuelle ne fait aucun doute. Ces comportements étaient de nature à perturber les adolescentes et les ont d'ailleurs effectivement perturbées, vu l'émotion constatée ou les déclarations des intéressées. Compte tenu de ce qui précède, c’est à raison que les premiers juges ont qualifié les comportements incriminés de l'appelant vis-à-vis de P.________, de M.________ et de J.________, d'actes d'ordre sexuel avec des enfants au sens de l’art. 187 CP. L’appel, mal fondé, doit être rejeté sur ce point également.</w:t>
      </w:r>
    </w:p>
    <w:p>
      <w:r>
        <w:rPr>
          <w:b/>
        </w:rPr>
        <w:t>E. 6</w:t>
      </w:r>
    </w:p>
    <w:p>
      <w:r>
        <w:t>Fondé sur la prémisse de son acquittement, l’appelant conclut à l’abandon de toute sanction à son encontre. En cas de condamnation, il fait grief aux premiers juges d'avoir mal appliqué les art. 44 et 47 CP en fixant une peine manifestement excessive qui ne tient pas suffisamment compte de l'ensemble des circonstances du cas d'espèce, notamment de son jeune âge et du contexte général. L’appelant conteste en outre, la durée du sursis qu’il estime excessive, en particulier à la lumière de l'écoulement du temps depuis les faits et de son bon comportement depuis lors, qui plaident selon lui en faveur de l'absence d'un risque de récidive.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- 34 -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w:t>
      </w:r>
    </w:p>
    <w:p>
      <w:r>
        <w:t>- 35 -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6.1.3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148 I 295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w:t>
      </w:r>
    </w:p>
    <w:p>
      <w:r>
        <w:rPr>
          <w:b/>
        </w:rPr>
        <w:t>E. 6.2.1</w:t>
      </w:r>
    </w:p>
    <w:p>
      <w:r>
        <w:t>L’appelant s’est en définitive rendu coupable de contrainte sexuelle à l’encontre de F.________, de A.________ et de W.________, d’une part, et d’actes d’ordre sexuel avec des enfants à l’encontre de P.________, M.________, N.________ et J.________, d’autre part. Comme les premiers juges,</w:t>
      </w:r>
    </w:p>
    <w:p>
      <w:r>
        <w:t>- 36 - la Cour de céans considère que la culpabilité de l’appelant est relativement lourde. Il a en effet agi à réitérées reprises à l'encontre de plusieurs jeunes filles, sans tenir compte de leur refus des actes d'ordre sexuel qu'il leur a imposés, parfois par la force. L’appelant était certes jeune, élément que les premiers juges ont d’ailleurs pris en considération comme élément à décharge (cf. jgmt, pp. 54-55), mais il était plus âgé que ses victimes ce qui lui imposait un devoir de retenue et de maîtriser sa libido, ce d'autant plus que l'alcool et les stupéfiants coulaient à flot. On ne saurait ainsi donner une importance outre mesure à ce jeune âge face à de tels comportements. Il abusait de sa stature et de son âge pour commettre des attouchements avec des jeunes filles qui n'osaient pas réellement réagir. A charge, il convient également de retenir que l’appelant n’a pas pris conscience de la gravité de ses actes, préférant – encore aux débats d’appel – rejeter la faute sur ses victimes qui auraient ourdi un complot contre lui. Les premiers juges ont à juste titre relevé les antécédents judiciaires de l'intéressé pour retenir que des motifs de prévention spéciale imposaient le prononcé d’une peine privative de liberté pour l'ensemble des infractions retenues, ce qui n’est pas à proprement contesté par l’appelant. L’infraction d’acte d’ordre sexuel imposé à des enfants (art. 187 CP), qui est l’infraction objectivement la plus grave, doit être sanctionnée par deux mois pour chacune des quatre victimes concernées. Par l’effet du concours, il convient d’ajouter un mois pour chaque contraintes sexuelles (art. 189 CP) imposées à trois jeunes filles dont la plaignante, soit trois mois supplémentaires, pour atteindre une peine privative de liberté de 11 mois en tout. En l’absence d’appel du Ministère public, et en application de l’interdiction de la reformatio in pejus, la peine privative de liberté de dix mois prononcée par les premiers juges doit être confirmée. L’appel, mal fondé, doit être rejeté sur ce point également.</w:t>
      </w:r>
    </w:p>
    <w:p>
      <w:r>
        <w:rPr>
          <w:b/>
        </w:rPr>
        <w:t>E. 6.2.2</w:t>
      </w:r>
    </w:p>
    <w:p>
      <w:r>
        <w:t>S’agissant du sursis fixé par les premiers juges, il convient de tenir compte de la durée des comportements, de leur répétition envers de multiples jeunes filles et d’une prise de conscience très relative de la gravité des faits qui lui sont reprochés par l’appelant qui continue d’évoquer un complot ourdi à son encontre aux débats d’appel. Par</w:t>
      </w:r>
    </w:p>
    <w:p>
      <w:r>
        <w:t>- 37 - conséquent, le délai d’épreuve arrêté à quatre ans s’avère justifié. L’appel, mal fondé, doit être rejeté.</w:t>
      </w:r>
    </w:p>
    <w:p>
      <w:r>
        <w:rPr>
          <w:b/>
        </w:rPr>
        <w:t>E. 7</w:t>
      </w:r>
    </w:p>
    <w:p>
      <w:r>
        <w:t>Fondé sur la prémisse de son acquittement, l’appelant conteste la mesure d’interdiction d'exercer à vie toute activité professionnelle et toute activité non professionnelle organisée impliquant des contacts réguliers avec des mineurs au sens de l'art. 67 CP. En cas de condamnation, il soutient que le prononcé d’une telle mesure serait incompatible avec l’art. 8 CEDH et qu’il devrait bénéficier de la clause d’exception de l'art. 67 al. 4bis CP.</w:t>
      </w:r>
    </w:p>
    <w:p>
      <w:r>
        <w:rPr>
          <w:b/>
        </w:rPr>
        <w:t>E. 7.1</w:t>
      </w:r>
    </w:p>
    <w:p>
      <w:r>
        <w:t>En vertu de l'art. 67 al. 3 let b et c CP, s'il a été prononcé contre l'auteur une peine ou une mesure prévue aux art. 59 à 61, 63 ou 64 CP, notamment pour des actes d'ordre sexuel avec des enfants (art. 187 CP) et de la contrainte sexuelle (art. 189 CP), le juge lui interdit à vie l'exercice de toute activité professionnelle et de toute activité non professionnelle organisée impliquant des contacts réguliers avec des mineurs. Selon l'art. 67a al. 5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(let. a). On entend également les autres activités exercées principalement ou régulièrement dans des établissements qui offrent les prestations visées à la let. a, à l'exception de celles dont l'emplacement ou</w:t>
      </w:r>
    </w:p>
    <w:p>
      <w:r>
        <w:t>- 38 - l'horaire garantit qu'elles ne peuvent pas impliquer de contacts avec des mineurs ou d'autres personnes particulièrement vulnérables (let. b).</w:t>
      </w:r>
    </w:p>
    <w:p>
      <w:r>
        <w:rPr>
          <w:b/>
        </w:rPr>
        <w:t>E. 7.2</w:t>
      </w:r>
    </w:p>
    <w:p>
      <w:r>
        <w:t>En l’espèce, la culpabilité de l’appelant est intégralement confirmée. Il est ainsi condamné pour des actes d’ordre sexuel avec des enfants (art. 187 CP) et pour des contraintes sexuelles (art. 189 CP) commis à plusieurs reprises. On ne se trouve à l’évidence pas dans des cas de peu de gravité au sens à l’art. 67 al. 4bis CP tels que retenus par la jurisprudence citée ci-dessus (cf. consid. 7.1.2.1 supra). Partant, l’une des conditions cumulatives nécessaire pour envisager la clause d’exception fait défaut. Par ailleurs, il convient de relever que la mesure litigieuse n’a pas</w:t>
      </w:r>
    </w:p>
    <w:p>
      <w:r>
        <w:t>- 41 - d’impact direct sur la vie professionnelle de l’appelant qui est en deuxième année d’apprentissage de logisticien à La Poste suisse et ne se destine pas à exercer un métier ou une activité impliquant des contacts réguliers avec des mineurs. La mesure prononcée respecte ainsi le principe de proportionnalité et ne viole pas l’art. 8 CEDH. Par conséquent, c’est à raison que les premiers juges n’ont pas mis l’appelant au bénéfice de la clause d’exception prévue à l’art. 64 al. 4bis CP dont l’application est exclue ici. L’appel, mal fondé, doit être rejeté.</w:t>
      </w:r>
    </w:p>
    <w:p>
      <w:r>
        <w:rPr>
          <w:b/>
        </w:rPr>
        <w:t>E. 7.3</w:t>
      </w:r>
    </w:p>
    <w:p>
      <w:r>
        <w:t>L'art. 67 al. 4bis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 La renonciation exceptionnelle à prononcer l'interdiction dépend de l'appréciation du juge quand les conditions cumulatives de la clause</w:t>
      </w:r>
    </w:p>
    <w:p>
      <w:r>
        <w:t>- 39 -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(ATF 149 IV 161 précité consid. 2.5.7, en référence notamment à l'ATF 144 IV 332 consid. 3.3 en lien avec l'art. 66a al. 2 CP). Il a dès lors considéré que le juge doit renoncer à prononcer l'interdiction lorsque les deux conditions cumulatives de l'art. 67 al. 4bis CP sont réalisées et qu'aucun cas prévu à l'art. 67 al. 4bis let. a et b CP (exceptions à l'exception) n'est donné (ATF 149 IV 161 précité consid. 2.5.7). 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(ATF 149 IV 161 consid. 2.5.1). La clause d'exception doit permettre d'éviter que le principe de proportionnalité ne soit violé de manière choquante, dans des cas de très peu de gravité où l'auteur n'est pas pédophile et ne risque pas de commettre à nouveau l'une des infractions sexuelles visées (ATF 149 IV 161 précité consid. 2.5.2).</w:t>
      </w:r>
    </w:p>
    <w:p>
      <w:r>
        <w:rPr>
          <w:b/>
        </w:rPr>
        <w:t>E. 7.3.1</w:t>
      </w:r>
    </w:p>
    <w:p>
      <w:r>
        <w:t>Le Code pénal ne définit pas la notion de « cas de très peu de gravité ». Le Message concernant la mise en œuvre de l'art. 123c Cst. cite des exemples dans lesquels le juge pourra exceptionnellement renoncer à prononcer une interdiction d'exercer une activité en vertu de l'art. 67 al. 4bis CP (FF 2016 p. 5949 ch. 2.1). Il est notamment fait mention de jeunes, qui ont entre 15 ans et plus de 18 ans, qui partagent dans un groupe WhatsApp et/ou conservent une vidéo à caractère pornographique filmée par des participants à ce groupe de moins de 16 ans (cf. art. 197 CP). S'agissant d'infractions d'actes d'ordre sexuel avec des enfants (cf. art. 187 CP), le juge peut appliquer la clause d'exception par exemple lorsqu'une</w:t>
      </w:r>
    </w:p>
    <w:p>
      <w:r>
        <w:t>- 40 - personne de 20 ans a des contacts sexuels consentis avec une autre de 15 ans dans le cadre d'une relation amoureuse (par ex. : baiser lingual) ou lorsqu'une personne, sans protester, se laisse caresser par son époux de manière lascive et ostensible devant leur nourrice âgée de moins de 16 ans. La doctrine se réfère principalement au Message précité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(ATF 149 IV 161 précité consid. 2.5.6 ; TF 6B_852/2022 du 26 avril 2023 consid. 2.2.3)</w:t>
      </w:r>
    </w:p>
    <w:p>
      <w:r>
        <w:rPr>
          <w:b/>
        </w:rPr>
        <w:t>E. 7.3.2</w:t>
      </w:r>
    </w:p>
    <w:p>
      <w:r>
        <w:t>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 succès d'une mise à l'épreuve. L'évaluation du risque de récidive doit comprendre un examen aussi complet que possible de la personnalité de l'auteur, si nécessaire au moyen d'une expertise psychiatrique (ATF 149 IV 161 précité consid. 2.5.5 et les références citées ; TF 6B_852/2022 précité consid. 2.2.2 ; FF 2016 p. 5948).</w:t>
      </w:r>
    </w:p>
    <w:p>
      <w:r>
        <w:rPr>
          <w:b/>
        </w:rPr>
        <w:t>E. 8</w:t>
      </w:r>
    </w:p>
    <w:p>
      <w:r>
        <w:t>Toujours fondé sur la prémisse erronée de son acquittement, l’appelant conteste le principe d’une indemnité allouée à la plaignante au titre des art. 123 al. 2 CPP et 49 CO, soutenant que la plaignante a déposé ses conclusions de manière tardive de sorte qu’elle seraient irrecevables. En l’espèce, et par adoption de motifs, la Cour de céans se réfère intégralement au raisonnement tenu par les premiers juges s’agissant des conclusions civiles prises par la plaignante, tant s’agissant de leur recevabilité que du montant alloué (art. 82 al. 4 CPP et jgmt, pp. 55- 56). Mal fondé, l’appel doit être rejeté.</w:t>
      </w:r>
    </w:p>
    <w:p>
      <w:r>
        <w:rPr>
          <w:b/>
        </w:rPr>
        <w:t>E. 9</w:t>
      </w:r>
    </w:p>
    <w:p>
      <w:r>
        <w:t>L’appelant conteste la mise à sa charge d’une partie des frais de la procédure qui aurait été décidée en violation des art. 423 al. 1 CPP et 426 al.2 CPP. Ce grief tombe toutefois à faux dans la mesure où l’appelant voit sa condamnation intégralement confirmée. Il convient ainsi de rejeter l’appel sur ce point également et de confirmer le montant des frais de la procédure de première instance mis à la charge de l’appelant par les premiers juges.</w:t>
      </w:r>
    </w:p>
    <w:p>
      <w:r>
        <w:rPr>
          <w:b/>
        </w:rPr>
        <w:t>E. 10</w:t>
      </w:r>
    </w:p>
    <w:p>
      <w:r>
        <w:t>En définitive, l’appel doit être rejeté et le jugement entrepris intégralement confirmé.</w:t>
      </w:r>
    </w:p>
    <w:p>
      <w:r>
        <w:t>- 42 - Me Ludovic Tirelli, défenseur d’office de l’appelant a produit une liste d’opérations faisant état de 15 heures et 25 minutes de travail d’avocat (P. 67) ce dont il n’y a pas lieu de s’écarter. Au tarif horaire de 180 fr., c’est ainsi des honoraires de 2'775 fr., auxquels il convient d’ajouter des débours forfaitaires à concurrence de 2 %, par 55 fr. 50, (art. 3bis al. 1 RAJ [règlement du 7 décembre 2010 sur l'assistance judiciaire en matière civile ; BLV 211.02.3], une vacation forfaitaire de 120 fr. et la TVA à 8,1 %, soit 239 francs. L’indemnité d’office allouée à Me Tirelli pour la procédure d’appel s’élève dès lors à 3'189 fr. 50. Me Kathrin Gruber, conseil d’office de la plaignante, a indiqué avoir consacré 3 heures et 45 minutes à ce mandat (P. 66) ce qui peut également être admis, sous réserve de l’ajout de 2 heures pour tenir compte de l’audience d’appel. On retiendra ainsi 5 heures et 45 minutes de travail d’avocat breveté, rémunérées au tarif horaire de 180 fr., soit des honoraires de 1'035 fr., auxquels s’ajoutent des débours forfaitaires à concurrence de 2 %, par 20 fr. 70, une vacation forfaitaire de 120 fr. et la TVA à 8,1 %, par 95 fr. 25. L’indemnité d’office allouée à Me Gruber pour la procédure d’appel s’élève ainsi à 1'270 fr. 95. Au vu de l’issue de la procédure, les frais d’appel, par 8’680 fr. 45, constitués de l’émolument de jugement et d’audience, par 4’220 fr., ainsi que des indemnités d’office allouées à Me Tirelli, par 3'189 fr. 50, et à Me Gruber, par 1'270 fr. 95, seront mis à la charge de X.________, qui succombe (art. 428 al. 1, 1re phrase, CPP). X.________ ne sera tenu de rembourser les indemnités d’office allouées à Me Tirelli et à Me Gruber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