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PE21.014789 vom 14. März 2024</w:t>
      </w:r>
    </w:p>
    <w:p>
      <w:r>
        <w:t>VD Tribunal cantonal, 2024-03-14, FR</w:t>
      </w:r>
    </w:p>
    <w:p>
      <w:r>
        <w:rPr>
          <w:b/>
        </w:rPr>
        <w:t xml:space="preserve">Quelle: </w:t>
      </w:r>
      <w:r>
        <w:t>https://mcp.opencaselaw.ch/entscheid/vd_gerichte_PE21.014789</w:t>
      </w:r>
    </w:p>
    <w:p>
      <w:r>
        <w:t>FR: VD_GERICHTE PE21.014789 du 14 mars 2024</w:t>
      </w:r>
    </w:p>
    <w:p>
      <w:r>
        <w:t>IT: VD_GERICHTE PE21.014789 del 14 marzo 2024</w:t>
      </w:r>
    </w:p>
    <w:p>
      <w:pPr>
        <w:pStyle w:val="Heading2"/>
      </w:pPr>
      <w:r>
        <w:t>Erwägungen</w:t>
      </w:r>
    </w:p>
    <w:p>
      <w:r>
        <w:rPr>
          <w:b/>
        </w:rPr>
        <w:t>E. 16</w:t>
      </w:r>
    </w:p>
    <w:p>
      <w:r>
        <w:t>ans au moins, est puni d’une peine privative de liberté de trois ans au plus ou d’une peine pécuniaire. Pour que l'auteur soit punissable, il faut qu'il existe un rapport de dépendance et, en outre, que l'auteur en ait profité. A titre d'exemple, l'art. 188 CP mentionne des rapports d'éducation, de confiance ou de travail. La mise à profit du lien de dépendance doit être prouvée dans le cas concret. Il faut, par conséquent, que le mineur, bien qu'opposé aux exigences de l'auteur, n'ose pas refuser en raison de la position dominante de ce dernier ; il n'est pas nécessaire que l'auteur ait en outre mis le mineur sous pression par des menaces ou d'une autre manière (ATF 125 IV 129 consid. 2a p. 131). N'importe quelle infériorité du mineur face à l'adulte ne génère pas une relation de dépendance. Il faut procéder à un examen des circonstances concrètes : durée de la relation, autorité qu'elle implique, âge et caractère de la victime (TF 6B_1019/2018 du 2 novembre 2018 consid. 3.1 ; TF 6B_1091/2014 du 24 novembre 2015 consid. 1.3.1). Les différents éléments entourant la relation entre l'auteur et le jeune de plus de 16 ans relèvent du fait. En revanche, dire si ces éléments sont suffisants pour retenir une relation de dépendance est une question de droit (ATF 125 IV 129 consid. 2a p. 131). Sur le plan subjectif, l'infraction réprimée par l'art. 188 CP est intentionnelle, le dol éventuel étant suffisant. Il faut donc que l'auteur ait à tout le moins envisagé et accepté l'éventualité que le mineur ne cède qu'en raison du rapport de dépendance (TF 6B_1019/2018 du 2 novembre 2018 consid. 3.1 ; TF 6B_1091/2014 du 24 novembre 2015 consid. 1.3.1 ; TF 6S.340/2004 du 3 novembre 2004 consid. 3.1).</w:t>
      </w:r>
    </w:p>
    <w:p>
      <w:r>
        <w:t>- 26 - 4.1.3 Aux termes de l’art. 189 al. 1 aCP, se rend coupable de contrainte sexuelle celui qui, notamment en usant de menace ou de violence envers une personne, en exerçant sur elle des pressions d’ordre psychique ou en la mettant hors d’état de résister, l’aura contrainte à commettre ou à subir un acte d’ordre sexuel. L’infraction réprimant la contrainte sexuelle interdit tout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L’art. 189 CP tend à protéger la libre détermination en matière sexuelle, en réprimant l’usage de la contrainte aux fins d’amener une personne à faire ou à subir, sans son consentement, un acte d’ordre sexuel. Il s’agit d’un délit de violence, qui doit être considéré principalement comme un acte d’agression physique (ATF 131 IV 107 consid. 2.2 ; TF 6B_159/2020 précité).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 TF 6B_159/2020 précité). La contrainte sexuelle suppose l’emploi d’un moyen de contrainte. Il s’agit notamment de l’usage de la violence. Celle-ci désigne l’emploi volontaire de la force physique sur la personne de la victime dans le but de la faire céder (ATF 122 IV 97 précité consid. 2b ; TF 6B_995/2020 du 5 mai 2021 consid. 2.1 et les arrêts cités).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w:t>
      </w:r>
    </w:p>
    <w:p>
      <w:r>
        <w:t>- 27 -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(TF 6B_995/2020 précité consid. 2.1 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précité consid. 2.2 ; TF 6B_1265/2019 du 9 avril 2020 consid. 3.3.2 publié à l’ATF 146 IV 153). Sur le plan subjectif, l’art. 189 CP sanctionne une infraction de nature intentionnelle, le dol éventuel étant suffisant.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w:t>
      </w:r>
    </w:p>
    <w:p>
      <w:r>
        <w:t>- 28 - 4.2 S’agissant du cas n° 1 de l’acte d’accusation, l’art. 187 ch. 1 aCP, qui réprime les actes d’ordre sexuel avec des enfants, ne peut pas être retenu, dès lors qu’on ne peut exclure, au vu des dates mentionnées dans l’acte d’accusation, que A.G.________ ait été âgée de plus de 16 ans au moment des faits. En revanche, les éléments constitutifs de l’art. 188 al. 1 aCP sont réalisés. En effet, L.________ a agi au sein d’une famille recomposée, en profitant de son statut de beau-père, étant rappelé qu’il vivait sous le même toit que sa belle-fille depuis 2015 (cf. PV d’audition n° 3, R. 5), soit depuis suffisamment longtemps pour qu’un rapport d’éducation et de confiance se soit créé entre eux. Il a usé de sa position dominante pour abuser de la jeune fille, en lui faisant de surcroit croire qu’il dormait, de manière à annihiler toute éventuelle résistance de sa part. Le fait de caresser le ventre et la poitrine d’une adolescente que ce soit en passant les mains sur ou sous ses habits, constituent des actes d’ordre sexuel. Enfin, l’intimé a agi intentionnellement, l’hypothèse selon laquelle il aurait eu des gestes déplacés alors qu’il était endormi n’étant pas crédible au vu de l’ensemble des éléments factuels examinés ci- dessus (cf. supra consid. 3.4). Il s’ensuit que L.________ doit être condamné, s’agissant du cas n° 1 de l’acte d’accusation, pour actes d’ordre sexuel avec des personnes dépendantes. En ce qui concerne le cas n° 2 de l’acte d’accusation, des caresses sur la poitrine, les fesses et les parties génitales constituent des actes d’ordre sexuel. Ils ont été commis sur une enfant alors âgée de 10- 12 ans. Le caractère intentionnel est manifeste s’agissant de l’épisode où les actes en question ont eu lieu alors que L.________ et sa victime étaient enlacés, debout. Il est également réalisé pour le deuxième épisode, puisque, comme on l’a vu (cf. supra consid. 3.4), il n’existe aucun doute sur le fait que l’intimé n’était pas endormi, comme il le prétend. L.________ doit dès lors être condamné pour actes d’ordre sexuel commis sur des enfants (art. 187 ch. 1 aCP). Par ailleurs, le fait que l’intimé ait maintenu fermement sa main sur le sexe de l’enfant, alors que celle-ci essayait en vain de la lui enlever, constitue une contrainte sexuelle au sens de l’art. 189 al. 1 aCP.</w:t>
      </w:r>
    </w:p>
    <w:p>
      <w:r>
        <w:t>- 29 - 5. Au vu de ce qui précède, l’intimé doit être condamné pour actes d’ordre sexuel avec des enfants, actes d’ordre sexuel avec des personnes dépendantes et contrainte sexuelle. Le Ministère public requiert une peine privative de liberté de 24 mois, assortie d’un sursis de 3 ans.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- 30 - outre lié par le maximum légal de chaque genre de peine (ATF 144 IV 313 consid. 1.2 ; TF 6B_631/2021 du 7 février 2022 consid. 1.2). 5.1.3 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5.2 La culpabilité de L.________ est lourde. Usant de son statut de beau-père, il s’en est pris successivement, sans le moindre scrupule et au sein d’un environnement familial, à l’intégrité sexuelle de ses deux belles- filles à peine adolescentes. A une occasion, il est allé jusqu’à utiliser sa force physique pour empêcher sa victime de lui résister. Durant l’instruction, il a en outre adopté une posture purement égoïste consistant à contester tout acte d’ordre sexuel ou à plaider l’inconscience de ses gestes, sans faire preuve, à aucun instant, de la moindre empathie envers ses victimes qu’il n’a, par ailleurs, pas hésité à qualifier de menteuses. On ne distingue aucun élément à décharge.</w:t>
      </w:r>
    </w:p>
    <w:p>
      <w:r>
        <w:t>- 31 - Une peine privative de liberté doit être prononcée pour des motifs de prévention spéciale, l’intimé n’ayant fait preuve d’aucune remise en question. La contrainte sexuelle commise à l’encontre d’B.G.________ constitue, compte tenu de la peine maximale possible, l’infraction la plus grave. Elle justifie à elle seule une peine privative de liberté de 5 mois. Celle-ci sera augmentée de 2 mois pour les actes d’ordre sexuel avec des enfants, lesquels ont également visé B.G.________, et de 5 mois pour les actes d’ordre sexuel avec des personnes dépendantes concernant A.G.________. C’est donc une peine privative de liberté de 12 mois qui sera infligée à L.________. Les conditions du sursis sont réalisées, un pronostic totalement défavorable ne pouvant être posé en l’état. Afin de s’assurer d’un amendement durable, la durée du délai d’épreuve sera fixée à 3 ans. 6. Invoquant l’art. 66a CP, le Ministère public conclut à ce que l’intimé soit expulsé du territoire suisse pour une durée de 10 ans. 6.1 6.1.1 Aux termes de l'art. 66a al. 1 let. h CP, le juge expulse de Suisse l'étranger qui est condamné notamment pour actes d’ordre sexuel avec des enfants, actes d’ordre sexuel avec des personnes dépendantes et contrainte sexuelle,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t>- 32 - 6.1.2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w:t>
      </w:r>
    </w:p>
    <w:p>
      <w:r>
        <w:t>- 33 - nach Art. 66a StGB als strafrechtliche Sanktion, in : Plädoyer 5/2016 p. 84). 6.2 En l’espèce, les infractions pour lesquelles L.________ est condamné entrent dans le catalogue de celles donnant lieu à une expulsion obligatoire. En outre, on ne se trouve pas dans un cas où la clause de rigueur devrait trouver application. En effet, même si l’intimé a vécu de nombreuses années en Suisse et qu’il partage sa vie avec la mère des victimes, il ne peut se prévaloir de liens sociaux, culturels ou professionnels particuliers. Par ailleurs, il travaille en qualité de maçon pour le compte d’une entreprise de travail temporaire, à raison de neuf à dix mois par année. Il bénéfice pour le reste de l’année d’indemnités de l’assurance-chômage. Partant, au vu de sa nationalité espagnole, on ne voit pas en quoi un retour dans son pays d’origine, où vit du reste son fils, pourrait le placer dans une situation personnelle d’une extrême gravité. Dans ces conditions, compte tenu des infractions prononcées à son encontre, l’intérêt public à l’expulsion prime sur celui de l’intimé à demeurer en Suisse. Au vu de sa culpabilité, la durée de l’expulsion sera fixée à 5 ans. 7. Le Ministère public requiert contre l’intimé une interdiction à vie de toute activité professionnelle et de toute activité non professionnelle organisée impliquant des contacts réguliers avec des mineurs. 7.1 En vertu de l'art. 67 al. 3 let. b CP, s'il a été prononcé contre l'auteur une peine ou une mesure prévue aux art. 59 à 61, 63 ou 64 CP, notamment pour des actes d'ordre sexuel avec des enfants (art. 187 CP) et de la contrainte sexuelle (art. 189 CP), le juge lui interdit à vie l'exercice de toute activité professionnelle et de toute activité non professionnelle organisée impliquant des contacts réguliers avec des mineurs. L'art. 67 al. 4bis CP prévoit que, dans les cas de très peu de gravité, le juge peut exceptionnellement renoncer à prononcer une</w:t>
      </w:r>
    </w:p>
    <w:p>
      <w:r>
        <w:t>- 34 - interdiction d'exercer une activité au sens des alinéas 3 ou 4 lorsqu'elle ne paraît pas nécessaire pour détourner l'auteur d'autres infractions passibles de cette même mesure. Il ne peut le faire si l'auteur a été condamné pour traite d'êtres humains (art. 182 CP), contrainte sexuelle (art. 189 CP), viol (art. 190 CP), actes d'ordre sexuel commis sur une personne incapable de discernement ou de résistance (art. 191 CP) ou encouragement à la prostitution (art. 195 CP) (let. a), ou s'il est pédophile conformément aux critères de classification internationalement reconnus (let. b). 7.2 Les agissements de L.________ à l’encontre de ses deux belles- filles ne constituent pas un cas bagatelle. Il n’existe aucun motif pour appliquer la clause d’exception, ce d’autant moins que, sous l’angle de la proportionnalité, l’intimé n’a jamais exercé d’activités professionnelles en lien avec des enfants et semble en mesure de retrouver un emploi dans le domaine de la construction. Partant, il y a lieu d’ordonner à son encontre l’interdiction à vie d’exercer toute activité professionnelle et toute activité non professionnelle organisée impliquant des contacts réguliers avec des mineurs. 8. Vu l’issue de la procédure d’appel, les frais de première instance, par 11'612 fr. 20, y compris l’indemnité allouée à son défenseur d’office, par 6'123 fr. 90, seront mis à la charge de L.________, qui succombe. Celui-ci sera tenu de rembourser ladite indemnité à l’Etat dès que sa situation financière le permettra. 9. En définitive, l’appel du Ministère public doit être admis et le jugement entreprise modifié dans le sens des considérants. Me Nicolas Blanc, défenseur d’office de L.________, a produit une liste d’opérations dans laquelle il indique une activité nécessaire d’avocat de 4h25, ce qui est adéquat. On y ajoutera 1h00 pour tenir compte de la durée des débats d’appel. L’indemnité de défenseur d’office sera dès lors fixée à 975 fr. (5h25 x 180 fr.), plus des débours forfaitaires,</w:t>
      </w:r>
    </w:p>
    <w:p>
      <w:r>
        <w:t>- 35 - par 19 fr. 50, et la TVA à 8,1 %, par 90 fr. 25, soit à un total de 1'204 fr. 75. Vu l’issue de la cause, les frais de la procédure d’appel, par 4'464 fr. 75, constitués de l’émolument de jugement et d’audience, par 3’260 fr. (art. 21 al. 1 et 2 TFIP [tarif des frais de procédure et indemnités en matière pénale du 28 septembre 2010 ; BLV 312.03.1]), et de l’indemnité due au défenseur d’office, par 1'204 fr. 75, seront mis à la charge de L.________, qui succombe. L.________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