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PE21.014764 vom 6. Dezember 2022</w:t>
      </w:r>
    </w:p>
    <w:p>
      <w:r>
        <w:t>VD Tribunal cantonal, 2022-12-06, FR</w:t>
      </w:r>
    </w:p>
    <w:p>
      <w:r>
        <w:rPr>
          <w:b/>
        </w:rPr>
        <w:t xml:space="preserve">Quelle: </w:t>
      </w:r>
      <w:r>
        <w:t>https://mcp.opencaselaw.ch/entscheid/vd_gerichte_PE21.014764</w:t>
      </w:r>
    </w:p>
    <w:p>
      <w:r>
        <w:t>FR: VD_GERICHTE PE21.014764 du 6 décembre 2022</w:t>
      </w:r>
    </w:p>
    <w:p>
      <w:r>
        <w:t>IT: VD_GERICHTE PE21.014764 del 6 dicembre 2022</w:t>
      </w:r>
    </w:p>
    <w:p>
      <w:pPr>
        <w:pStyle w:val="Heading2"/>
      </w:pPr>
      <w:r>
        <w:t>Erwägungen</w:t>
      </w:r>
    </w:p>
    <w:p>
      <w:r>
        <w:rPr>
          <w:b/>
        </w:rPr>
        <w:t>E. 14</w:t>
      </w:r>
    </w:p>
    <w:p>
      <w:r>
        <w:t>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w:t>
      </w:r>
    </w:p>
    <w:p>
      <w:r>
        <w:t>- 17 -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4.2.2 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Les ch. 2 à 4 de l’art. 140 CP envisagent les formes qualifiées de brigandage. 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p. 317) ou encore le fait de menacer la victime avec une arme (ATF 120 IV 113 consid. 1c p. 117 ; TF 6S.203/2005 du 6 septembre 2005 consid. 3.1 ; TF 6S.109/2001 du 17 avril 2001</w:t>
      </w:r>
    </w:p>
    <w:p>
      <w:r>
        <w:t>- 18 - consid. 1c). Enfin, le dernier stade d'aggravation est réalisé si l'auteur a mis la victime en danger de mort, lui a fait subir une lésion corporelle grave, ou l'a traitée avec cruauté (art. 140 ch. 4 CP). L’art. 140 ch. 4 CP prévoit une peine privative de liberté de cinq ans au moins, si l’auteur a mis la victime en danger de mort, lui a fait subir une lésion corporelle grave ou l’a traitée avec cruauté. La circonstance aggravante de la mise en danger de mort prévenue à l’art. 140 ch. 4 CP doit être interprétée restrictivement en raison de l’importance de la peine, qui est une peine privative de liberté de cinq ans au moins et qui correspond ainsi à la sanction du meurtre (art. 111 CP). Selon la jurisprudence, la mise en danger de mort de la victime suppose un danger concret, imminent et très élevé que la mort puisse survenir facilement, même sans la volonté de l’auteur (ATF 121 IV 67 consid. 2b ; TF 6B_288/2018 du 22 août 2018 consid. 2.1 ; TF 6B_28/2016 du 10 octobre 2016 consid. 4.2). Les circonstances de fait et le comportement concret de l’auteur sont décisifs pour déterminer si la victime a couru un risque réel de lésions mortelles (cf. ATF 117 IV 427 consid. 3b/aa).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(ATF 117 IV 427 précité consid. 3b/aa ; TF 6B_257/2021 du 22 décembre 2021 consid. 2 ; TF 6B_288/2018 précité consid. 2.1 ; TF 6B_28/2016 précité consid. 4.2 ; TF 6B_1248/2013 du 23 septembre 2014 consid. 1.2). Sur le plan subjectif, l’intention doit porter sur la mise en danger de mort, ce qui signifie que l’auteur doit avoir conscience de placer sa victime dans une telle situation, mais le dol éventuel suffit (ATF 117 IV 427 précité consid. 3b ; TF 6B_288/2018 précité ; TF 6B_257/2021 précité ; TF 6B_585/2018 du 3 août 2018 consid. 3.1 ; TF 6B_776/2016 du 8 novembre 2016 consid. 2.5.1 ; TF 6B_28/2016 précité consid. 4.3). Il y a dol éventuel lorsque l’auteur envisage le résultat dommageable, mais agit</w:t>
      </w:r>
    </w:p>
    <w:p>
      <w:r>
        <w:t>- 19 - néanmoins, parce qu’il s’en accommode pour le cas où il se produirait, même s’il ne le souhaite pas (ATF 137 IV 1 consid. 4.2.3 ; ATF 133 IV 9 consid. 4.1). 4.3 Les premiers juges ont considéré qu’un doute demeurait sur les questions de savoir si la lame du cutter avait été directement apposée sur le cou du plaignant et si elle avait été placée de telle manière qu’une échauffourée ou un mouvement minime, par exemple un mouvement réflexe involontaire de la victime ou de l’auteur, aurait pu entraîner une lésion mortelle. Pour ce motif, la circonstance aggravante de l’art. 140 ch. 4 CP a été écartée au profit de celle de l’art. 140 ch. 2 CP (cf. jugement, p. 17). Cela étant, le résultat de l’instruction montre clairement que la vie de B.X.________ a été concrètement mise en danger durant la commission du brigandage. Il importe peu, contrairement à ce qu’ont retenu les premiers juges (cf. jugement, p. 16 s.), que les témoins aient légèrement divergé sur la question de la proximité de la lame du cutter avec le cou de la victime, soit selon le témoin [...] sur le cou (PV aud. 7, R. 5, p. 2), et selon la témoin [...] à 5 cm de celui-ci (PV aud. 2, R. 5, p. 2). Contrairement à ce que plaide la défense, il n’y a aucune raison de douter de la crédibilité du témoin [...], qui se trouvait proche de la scène. Au demeurant, quand bien même un doute subsisterait quant au contact avec le cou, il est établi que la lame s’y est trouvée à proximité directe, ce d’autant que la victime était empoignée et limitée dans sa respiration. En toute hypothèse, la situation constatée par les témoins correspond bien à celle d’une mise en danger mortelle telle que décrite dans la jurisprudence citée ci-dessus. En outre, les dépositions des témoins confirment en définitive les déclarations de la victime, qui a toujours indiqué avoir eu à un moment donné la lame du cutter sur le cou pendant qu’il était violenté par son agresseur (PV aud. 1, R. 5, p. 2). En outre, le prévenu n’est aucunement crédible lorsqu’il affirme, après avoir longuement contesté l’usage d’un cutter, alors même que les entailles de la lame sur le casque de la victime sont flagrantes (cf. P. 4/4), qu’il aurait placé un doigt entre la lame et le cou de cette dernière. Cette déclaration, également intervenue</w:t>
      </w:r>
    </w:p>
    <w:p>
      <w:r>
        <w:t>- 20 - durant l’instruction (cf. PV aud. 9, p. 2, l. 51 s.), n’est manifestement que le reflet de sa conscience des enjeux pénaux, tant il est évident que le déchainement brutal de violence dont il a fait preuve envers sa victime n’est pas compatible avec la précaution qu’il invoque et qui pouvait lui- même le blesser. Sa vaine démonstration à cet égard aux débats d’appel ne fait que conforter cette appréciation. Sur le plan factuel, il y a donc lieu de retenir que Z.________ a placé la lame du cutter contre la gorge de B.X.________, ou à tout le moins à quelques centimètres de celle-ci. 4.4 C’est également en vain que l’appelant plaide qu’un danger de mort ne pourrait être retenu au motif que la lame du cutter était cassée (P. 41, p. 7). Les lames de cutter sont précisément conçues pour être rompues par segments réguliers, puis ressortir, afin de garantir un tranchant en tout temps acéré. En l’occurrence, la lame du cutter était encore suffisamment longue pour être ressortie (P. 4/3) et potentiellement encore plus aiguisée – comme en témoignent du reste les marques profondes constatées sur le casque de la victime (cf. P 4/4) – lorsque le prévenu l’a appuyée contre le cou du plaignant, respectivement l’a approchée à proximité de celui-ci. 4.5 Sur le plan objectif, il est évident que, compte tenu des circonstances décrites ci-avant, la vie de B.X.________ a été concrètement mise en danger, d’autant plus que la victime était dans une position dans laquelle elle ne pouvait pas se dégager et qu’un mouvement brusque pour tenter de le faire pouvait aboutir à une issue fatale. Le prévenu a par ailleurs reconnu qu’il était nerveux, ce qui renforce le danger de mort (cf. TF 6B_288/2018 précité consid. 2.1). Enfin, il y a lieu de rappeler que la jurisprudence retient un danger de mort concret et imminent – à tout le moins par dol éventuel – sans que besoin ne soit que le couteau soit appuyé contre le cou (cf. TF 6B_257/2021 précité consid. 2). Ainsi, contrairement à ce qu’ont retenu les premiers juges (cf. jugement, p. 17), la Cour de céans considère, au vu du déroulement</w:t>
      </w:r>
    </w:p>
    <w:p>
      <w:r>
        <w:t>- 21 - des faits, que le prévenu a pleinement accepté la mise en danger de mort. En effet, par l’usage conjugué du cutter à proximité d’organes vitaux et la répétition de menaces de morts et de coups violents, le prévenu ne pouvait qu’avoir conscience du risque de blessure mortelle qu’il faisait encourir à sa victime, ce d’autant qu’il est revenu à la charge à deux reprises, dans les mêmes circonstances. Du reste, tant le plaignant (jugement, p. 4) que les témoins (PV aud. 7, R. 5) ont sérieusement craint que le prévenu mette à exécution ses menaces de mort. Sur ce point, l’appel du Ministère public doit donc être admis et Z.________ reconnu coupable de brigandage aggravé au sens de l’art. 140 ch. 4 CP. 5. 5.1 Le Ministère public soutient ensuite que la peine prononcée en première instance serait trop faible et requiert, compte tenu de la peine plancher de 5 ans prévue à l’art. 140 ch. 4 CP et du comportement grave et abject adopté par le prévenu, qu’il soit condamné à une peine privative de liberté de 6 ans. Pour sa part, le prévenu affirme au contraire que la peine, qui n’est pas adéquate, devrait être réduite à 24 mois, dont 12 mois avec sursis pendant 5 ans.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w:t>
      </w:r>
    </w:p>
    <w:p>
      <w:r>
        <w:t>- 22 -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5.3 La peine menace minimum pour l’infraction retenue, soit la forme qualifiée de brigandage de l’art. 140 ch. 4 CP, est une peine privative de liberté de 5 ans, de sorte que les conclusions du prévenu apparaissent d’emblée illusoires, en l’absence de toute circonstance atténuante au sens de l’art. 48 ou 48a CP. La responsabilité pénale est entière et la culpabilité du prévenu est lourde. On retiendra, à charge, avec les premiers juges, que celui-ci a attaqué sa victime par surprise, alors qu’elle passait par-là, soit gratuitement, sous le prétexte futile d’une prétendue dette de jeu – que le prévenu n’est d’ailleurs pas parvenu à rendre vraisemblable. Z.________ n’a pas hésité à prendre des risques importants, en usant d’un cutter dont la lame était acérée et en mettant en danger de mort sa victime, par deux fois, après avoir lacéré son casque, pour obtenir un maigre butin, soit un téléphone portable, le portemonnaie du plaignant ne contenant pas d’argent. Aux débats d’appel, le prévenu a persisté à nier l’évidence, tentant de démontrer, sans crédibilité aucune, avoir mis un doigt sur la lame du cutter pour protéger sa victime. Il a ainsi continué à minimiser les faits, comme l’avaient déjà retenu les premiers juges (cf. jugement, p. 18). A décharge, on retiendra l’accord transactionnel conclu entre les parties sur les aspects civils de la cause (cf. jugement, p. 3). On retiendra également que le casier judiciaire du prévenu fait état de deux antécédents pénaux peu significatifs, qui remontent à 2014. Ils concernaient des infractions à la loi sur les stupéfiants et à la loi sur la circulation routière, soit des infractions</w:t>
      </w:r>
    </w:p>
    <w:p>
      <w:r>
        <w:t>- 23 - de nature différente que le brigandage. Par conséquent, au vu de ce qui précède, et de la situation personnelle du Z.________, il y a lieu de s’en tenir au minimum légal. C’est ainsi une peine privative de liberté de 5 ans qui sera prononcé à l’encontre de ce dernier. Le sursis est exclu en raison de la quotité de la peine. Enfin, l’amende de 300 fr. infligée par le Tribunal correctionnel pour sanctionner la contravention à la loi fédérale sur les stupéfiants, ainsi que la peine privative de liberté de substitution de 3 jours en cas de non- paiement fautif, ne prêtent pas le flanc à la critique. Elles ne sont du reste pas contestées. 5.4 Le prévenu conclut à l’allocation d’une indemnité de 6'800 fr. pour les 15 jours de détention provisoire subis dans des conditions de détention illicites en zone carcérale et les 121 jours de détention avant jugement subis dans des conditions de détention illicites à la Prison du Bois-Mermet, mais il a été indemnisé sous forme d’une réduction de peine adéquate, qui est la règle en cas de condamnation à une peine privative de liberté. 6. 6.1 Le Ministère public requiert enfin le prononcé d’une mesure d’expulsion pour une durée de 10 ans, avec inscription au Système d’information Schengen (SIS). Il conteste que le prévenu remplisse les conditions d’un cas de rigueur au sens de l’art. 66a al. 2 CP comme l’ont retenu les premiers juges. Quant au prévenu, il fait valoir que ses antécédents sont anciens et de peu d’importance, et se prévaut de ses liens avec sa fille. 6.2 6.2.1 Selon l'art. 66a al. 1 let. c CP, le juge expulse de Suisse l'étranger qui est condamné pour brigandage.</w:t>
      </w:r>
    </w:p>
    <w:p>
      <w:r>
        <w:t>- 24 -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6.2.2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w:t>
      </w:r>
    </w:p>
    <w:p>
      <w:r>
        <w:t>- 25 -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w:t>
      </w:r>
    </w:p>
    <w:p>
      <w:r>
        <w:t>- 26 -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La CourEDH a précisé que si des enfants sont concernés, leur intérêt supérieur doit également être pris en compte en tant qu'élément essentiel de la mise en balance des intérêts (arrêts de la CourEDH du 22 décembre 2020 [requête n° 43936/18], § 56 ; aussi :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w:t>
      </w:r>
    </w:p>
    <w:p>
      <w:r>
        <w:t>- 27 - 72, cité dans l'arrêt CourEDH Mehemi précité ; voir aussi : TF 6B_855/2020 précité consid. 3.3.2). 6.3 En l’espèce, l’infraction de brigandage qualifié constitue un cas d’expulsion obligatoire de son auteur étranger. Les premiers juges ont considéré que Z.________ remplissait toutefois les conditions du cas de rigueur de l’art. 66a al. 2 CP, aux motifs qu’il vit en Suisse depuis une trentaine d’années, y a effectué sa scolarité obligatoire, parle le français, n’a que peu d’attaches au Kosovo et, surtout, est père d’une enfant de 12 ans avec qui il entretient une relation forte, malgré le divorce d’avec sa mère (cf. jugement, p. 21). Si les éléments avancés par le Tribunal correctionnel sont pertinents, ils ne suffisent pas à renoncer à l’expulsion, les premiers juges n’ayant pas examiné l’ensemble des circonstances pertinentes pour cette mesure. D’abord, l’intégration du prévenu en Suisse est mauvaise. Il n’a pas achevé sa formation et n’a pas d’emploi fixe. Il dépend des services sociaux. Il est endetté. Il a présenté une addiction aux drogues. Il a déjà été condamné. Tous ces éléments permettent de considérer que le prévenu n’est pas parvenu à s’intégrer en Suisse, malgré la durée de son séjour. Le seul élément qui dicterait éventuellement l’examen d’un cas de rigueur est la présence en Suisse de sa fille de 12 ans. Toutefois, compte tenu de la gravité de l’atteinte à l’ordre public et des mauvais renseignements au sujet du prévenu, cette circonstance n’est pas suffisante, ce d’autant que le prévenu est divorcé, n’a pas la garde de sa fille et la voyait, avant sa mise détention, à raison d’un week-end sur deux, soit pas davantage qu’un régime de droit de visite usuel. Dès lors, son renvoi n’est pas susceptible d’engendrer la rupture d’une communauté familiale précédemment intacte des parents et des enfants, de sorte qu’il est compatible avec l’art. 8 CEDH. On relèvera en outre que la présence de sa fille et les liens forts qu’il a avec elle ne l’ont pas empêché de commettre un brigandage et de consommer des produits stupéfiants. Au vu de ce qui précède, comme l’a relevé à juste titre le</w:t>
      </w:r>
    </w:p>
    <w:p>
      <w:r>
        <w:t>- 28 - Ministère public, on ne voit pas qu’une expulsion de Z.________ dans son pays d’origine, le Kosovo, dont il parle la langue, où il s’est marié en 2008, où il a encore de la famille et où il s’est rendu à de multiples reprises chez sa belle-famille, puisse constituer une ingérence inacceptable dans ses conditions d’existence. La mère de l’enfant a déclaré au demeurant qu’elle se rendait régulièrement au Kosovo en vacances (cf. jugement, p. 9). Elle pourra ainsi emmener l’enfant pour qu’elle y voit son père et, dans l’intervalle, ce dernier pourra maintenir des contacts avec sa fille par le biais des outils de communication modernes. En définitive l'intérêt public à l'éloignement du prévenu l'emporte sur son intérêt privé à demeurer dans notre pays. L'expulsion de Z.________ doit donc être ordonnée, mais pour une durée limitée, afin de ne pas compromettre à long terme les relations avec sa fille. Cette durée sera dès lors arrêtée à 5 ans. Il sera en outre ordonné l’inscription de son expulsion au Système d’information Schengen (ATF 146 IV 172 consid. 3.2.2, JdT 2020 IV 312). 7. Conformément à l’art. 51 CP, la détention subie par Z.________ depuis le jugement de première instance sera déduite de la peine privative de liberté prononcée. Le maintien en exécution anticipée de peine du prévenu sera en outre ordonné pour garantir l’exécution de la peine prononcée et de l’expulsion, vu le risque de fuite qu’il présente (art. 221 al. 1 let. a CPP). 8. En définitive, l’appel du Ministère public doit être partiellement admis et l’appel joint du prévenu rejeté. Le jugement entrepris sera réformé dans le sens des considérants qui précèdent. Me Pierre-Alain Killias, défenseur d’office de Z.________, a produit une liste d’opérations (P. 78) faisant état d’une activité nécessaire d’avocat de 13.7 heures. Il convient toutefois de retrancher une heure de préparation pour l’audience d’appel, la durée invoquée de 6 heures étant excessive. Le temps consacré à l’audience d’appel sera ajouté. Au tarif</w:t>
      </w:r>
    </w:p>
    <w:p>
      <w:r>
        <w:t>- 29 -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s’élèvent ainsi à 2’484 fr., auxquels s’ajoutent des débours forfaitaires de 2 % (art. 26b TFIP qui renvoie à l'art. 3 bis RAJ), par 49 fr. 70, 120 fr. de vacation et la TVA sur le tout, au taux de 7,7%, par 204 fr. 35. L’indemnité de défenseur d’office pour la procédure d’appel sera dès lors fixée à 2'858 francs. Vu l’issue de la cause, les frais d’appel, par 5’458 fr., constitués en l’espèce des émoluments de jugement et d’audience, par 2’600 fr. (art. 21 al. 1 et 2 TFIP), ainsi que de l’indemnité allouée au défenseur d’office du prévenu, par 2'858 fr., seront mis par trois quarts, soit 4’093 fr. 50, à la charge de Z.________, le solde étant laissé à la charge de l’Etat (art. 428 al. 1 CPP). Z.________ sera tenu de rembourser à l’Etat les trois quarts de l'indemnité de défense d'office mis à sa charge dès que sa situation financière le permettra (art. 135 al. 4 let. a CPP). La Cour d’appel pénale vu les art. 140 ch. 1 et 2 CP appliquant les articles 40, 47, 50, 51, 66a al. 1, 106, 140 ch. 4 CP ; 19a ch. 1 LStup et 398 ss CPP, prononce : I. L’appel du Ministère public est partiellement admis. II. L’appel joint de Z.________ est rejeté. III. Le jugement rendu le 6 décembre 2022 par le Tribunal correctionnel de l’arrondissement de Lausanne est modifié</w:t>
      </w:r>
    </w:p>
    <w:p>
      <w:r>
        <w:t>- 30 - comme il suit aux chiffres I, II, III et VII de son dispositif, le dispositif du jugement étant désormais le suivant : "I. (supprimé) ; II. constate que Z.________ s’est rendu coupable de brigandage qualifié au sens de l’art. 140 ch. 4 CP et de contravention à la Loi fédérale sur les stupéfiants ; III. condamne Z.________ à une peine privative de liberté de 5 (cinq) ans, sous déduction de 470 (quatre cent septante) jours de détention avant jugement subis ; IV. constate que Z.________ a subi 15 (quinze) jours de détention dans des conditions de détention provisoire illicites en zone carcérale et 121 (cent vingt et un) jours de détention dans des conditions de détention avant jugement illicites à la Prison du Bois-Mermet et ordonne que 39 (trente-neuf) jours de détention soient déduits de la peine fixée au chiffre III. ci- dessus, à titre de réparation du tort moral ; V. condamne en outre Z.________ à une amende de CHF 300.- (trois cents francs) et dit que celle-ci fera place à une peine privative de liberté de substitution de 3 jours en cas de non-paiement dans le délai qui lui sera imparti ; VI. maintient Z.________ en détention pour des motifs de sûreté respectivement en exécution anticipée de peine ; VII. ordonne l’expulsion de Z.________ du territoire suisse pour une durée de 5 (cinq) ans ; VIII. prend acte pour valoir jugement sur les aspects civils de la convention conclue par Z.________ et B.X.________ aux débats ; IX. dit que le cutter séquestré sous fiche n° 33572, le DVD inventorié sous fiche n° 31914 et le CD inventorié sous fiche n° 32202 sont maintenus au dossier au titre de pièces à conviction et que le casque de vélo gris séquestré sous fiche n°33569 sera restitué au plaignant B.X.________, une fois le présent jugement exécutoire ;</w:t>
      </w:r>
    </w:p>
    <w:p>
      <w:r>
        <w:t>- 31 - X. met les frais par CHF 22'127.50 à la charge de Z.________ et dit que ceux-ci comprennent l’indemnité allouée à son défenseur d’office, Me Pierre-Alain Killias, par CHF 10'731.75, dont à déduire l’avance de CHF 4'000.- déjà perçue, compte tenu de la liste des opérations produite, de la durée du mandat et de la difficulté de la cause, et l’indemnité du conseil d’office de B.X.________, Me Gisèle de Benoit, arrêtée à CHF 4'440.-, compte tenu de la liste des opérations produite, de la durée du mandat et de la difficulté de la cause, dites indemnités, avancées par l’Etat, devant être remboursées par le prévenu dès que sa situation financière le lui permettra." IV. La détention subie depuis le jugement de première instance est déduite. V. Le maintien en exécution anticipée de peine de Z.________ est ordonné. VI. Une indemnité de défenseur d'office pour la procédure d'appel d'un montant de 2’858 fr., TVA et débours inclus, est allouée à Me Pierre-Alain Killias. VII. Les frais d'appel, par 5’458 fr., y compris l'indemnité allouée à son défenseur d'office, sont mis par trois quarts, soit 4’093 fr. 50, à la charge de Z.________, le solde, par 1’364 fr. 50, étant laissé à la charge de l’Etat. VIII.Z.________ ne sera tenu de rembourser à l’Etat de Vaud les trois quarts de l’indemnité en faveur de son défenseur d’office que lorsque sa situation financière le permettra. Le président : Le greffier :</w:t>
      </w:r>
    </w:p>
    <w:p>
      <w:r>
        <w:t>- 32 - Du Le jugement qui précède, dont le dispositif a été communiqué par écrit aux intéressés le 15 mai 2023, est notifié, par l'envoi d'une copie complète, à : - Me Pierre-Alain Killias, avocat (pour Z.________), - Ministère public central, une copie du dispositif est adressée à : - M. le Président du Tribunal correctionnel de l'arrondissement de Lausanne, - Mme la Procureure cantonale Strada, - Me Gisèle de Benoit, avocate (pour B.X.________), - Office d'exécution des peines, - Prison de la Croisée, - Service de la population, - Service pénitentiaire (bureau des séquestres), par l'envoi de photocopies.</w:t>
      </w:r>
    </w:p>
    <w:p>
      <w:r>
        <w:t>- 33 -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