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PE21.014748 vom 6. September 2021</w:t>
      </w:r>
    </w:p>
    <w:p>
      <w:r>
        <w:t>VD Tribunal cantonal, 2021-09-06, FR</w:t>
      </w:r>
    </w:p>
    <w:p>
      <w:r>
        <w:rPr>
          <w:b/>
        </w:rPr>
        <w:t xml:space="preserve">Quelle: </w:t>
      </w:r>
      <w:r>
        <w:t>https://mcp.opencaselaw.ch/entscheid/vd_gerichte_PE21.014748</w:t>
      </w:r>
    </w:p>
    <w:p>
      <w:r>
        <w:t>FR: VD_GERICHTE PE21.014748 du 6 septembre 2021</w:t>
      </w:r>
    </w:p>
    <w:p>
      <w:r>
        <w:t>IT: VD_GERICHTE PE21.014748 del 6 settembre 2021</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10 mai 2021/432 consid. 1 ; CREP 24 janvier 2019/59 consid. 1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w:t>
      </w:r>
    </w:p>
    <w:p>
      <w:r>
        <w:t>- 4 - 2009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Le recourant conteste l’existence de graves soupçons de culpabilité justifiant sa mise en détention provisoire. Il fait valoir que la description faite par le plaignant de son agresseur ne concorderait pas avec sa personne. Il admet toutefois avoir échangé ses vêtements avec son coprévenu, mais avant les faits. De plus, son coprévenu ne le mettrait pas en cause.</w:t>
      </w:r>
    </w:p>
    <w:p>
      <w:r>
        <w:rPr>
          <w:b/>
        </w:rPr>
        <w:t>E. 3.2</w:t>
      </w:r>
    </w:p>
    <w:p>
      <w:r>
        <w:t>Pour constituer des soupçons suffisants, les indices de la commission d’une infraction doivent être sérieux et concrets (ATF 141 IV 87 consid. 1.3.1 ; ATF 137 IV 122 consid. 3.2). Selon la jurisprudence, il</w:t>
      </w:r>
    </w:p>
    <w:p>
      <w:r>
        <w:t>- 5 - n'appartient cependant pas au juge de la détention – contrairement au juge du fond – de procéder à une pesée minutieuse et complète des éléments à charge et à décharge. Lorsque l'existence de charges est contestée, ce juge doit uniquement examiner si, sur la base des actes d'instruction disponibles, il existe des indices suffisants et concrets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1B_342/2021 du 13 juillet 2021 consid. 2.1.2).</w:t>
      </w:r>
    </w:p>
    <w:p>
      <w:r>
        <w:rPr>
          <w:b/>
        </w:rPr>
        <w:t>E. 3.3</w:t>
      </w:r>
    </w:p>
    <w:p>
      <w:r>
        <w:t>En l’espèce, outre le fait que l’on ne voit pas pour quel motif les coprévenus auraient échangé leurs vêtements avant les faits, le recourant oublie que le plaignant l’a identifié derrière une vitre sans tain comme celui qui l’a ceinturé et dépouillé (cf. P. 4, p. 6 ; PV aud. 1 et 2). Il s’ensuit que c’est à juste titre que le Tribunal des mesures de contrainte a retenu l’existence de soupçons suffisants de culpabilité.</w:t>
      </w:r>
    </w:p>
    <w:p>
      <w:r>
        <w:rPr>
          <w:b/>
        </w:rPr>
        <w:t>E. 4.1</w:t>
      </w:r>
    </w:p>
    <w:p>
      <w:r>
        <w:t>Le recourant conteste le risque de collusion retenu contre lui. Il fait valoir qu’il se serait, par le passé, toujours conformé aux décisions de procédure pénale le concernant, sans jamais avoir subi de détention provisoire ni avoir jamais altéré des preuves. Si toutefois l’on devait admettre l’existence d’un tel risque, il estime que les mesures d’instruction envisagées par le Ministère public devraient être accomplies en un mois.</w:t>
      </w:r>
    </w:p>
    <w:p>
      <w:r>
        <w:rPr>
          <w:b/>
        </w:rPr>
        <w:t>E. 4.2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w:t>
      </w:r>
    </w:p>
    <w:p>
      <w:r>
        <w:t>- 6 -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(Jeanneret et al. [édit.], Commentaire romand, Code de procédure pénale suisse, 2e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 ATF 132 I 21 consid. 3.2 ; TF 1B_339/2019 du 26 juillet 2019 consid. 3.1).</w:t>
      </w:r>
    </w:p>
    <w:p>
      <w:r>
        <w:rPr>
          <w:b/>
        </w:rPr>
        <w:t>E. 4.3</w:t>
      </w:r>
    </w:p>
    <w:p>
      <w:r>
        <w:t>En l’espèce, l’enquête ne fait que commencer. Il faut retenir, à l’instar du premier juge, que le risque de collusion est réalisé du fait que le recourant pourrait reprendre contact avec des personnes devant être interrogées, pour convenir d’une version commune ou en faveur d’un tiers. Il n’est donc pas exclu que l’intéressé puisse interférer dans l’instruction en cours s’il venait à être libéré, son comportement passé lors des enquêtes pénales, prétendument exempt de reproche, ce qui est au demeurant invérifiable, ne modifiant pas cette appréciation.</w:t>
      </w:r>
    </w:p>
    <w:p>
      <w:r>
        <w:rPr>
          <w:b/>
        </w:rPr>
        <w:t>E. 5.1</w:t>
      </w:r>
    </w:p>
    <w:p>
      <w:r>
        <w:t>Le recourant conteste le risque de réitération retenu contre lui.</w:t>
      </w:r>
    </w:p>
    <w:p>
      <w:r>
        <w:rPr>
          <w:b/>
        </w:rPr>
        <w:t>E. 5.2</w:t>
      </w:r>
    </w:p>
    <w:p>
      <w:r>
        <w:t>L'art. 221 al. 1 let. c CPP pose trois conditions pour admettre un risque de récidive. En premier lieu, le prévenu doit en principe déjà</w:t>
      </w:r>
    </w:p>
    <w:p>
      <w:r>
        <w:t>- 7 -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TF 1B_91/2021 du 10 mars 2021 consid. 2.1; TF 1B_587/2020 du 10 décembre 2020 consid. 3.1; TF 1B_237/2018 du 6 juin 2018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143 IV 9 consid. 2.3.1, JdT 2017 IV 262 ; ATF 137 IV 13 consid. 3 et 4). Le risque de récidive peut également se fonder sur les infractions faisant l'objet de la procédure pénale en cours, si le prévenu est fortement soupçonné – avec une probabilité confinant à la certitude – de les avoir commises (ATF 143 IV 9, JdT 2017 IV 262 ; ATF 137 IV 84 consid. 3.2, JdT 2011 IV 325).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(ATF 143 IV 9 consid. 2.6 et 2.7, JdT 2017 IV 262).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w:t>
      </w:r>
    </w:p>
    <w:p>
      <w:r>
        <w:t>- 8 - d'un pré-rapport, il y a lieu d'en tenir compte (ATF 143 IV 9 consid. 2.8, JdT 2017 IV 262).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w:t>
      </w:r>
    </w:p>
    <w:p>
      <w:r>
        <w:rPr>
          <w:b/>
        </w:rPr>
        <w:t>E. 5.3</w:t>
      </w:r>
    </w:p>
    <w:p>
      <w:r>
        <w:t>En l’espèce, si la dernière affaire pénale remonte à 6 ans, il y a lieu d’observer que le recourant a déjà été condamné à quatre reprises entre 2013 et 2016, dont deux fois à des peines significatives de 14 et 16 mois de privation de liberté pour des actes de violence. De surcroît, l’intéressé est consommateur de stupéfiants et se trouve sans emploi. Au vu de ces circonstances de mauvais pronostic, il est fortement à craindre que le prévenu récidive s’il était libéré. 6. Les conditions de l’art. 221 al. 1 CPP étant alternatives, il n’est pas nécessaire d’examiner la réalisation du risque de fuite, également contesté par le recourant. 7. Il résulte de ce qui précède que la détention provisoire du recourant se justifie. 8. 8.1 A titre de mesures de substitution à la détention provisoire, le recourant propose d’être astreint à une interdiction formelle de se rendre</w:t>
      </w:r>
    </w:p>
    <w:p>
      <w:r>
        <w:t>- 9 - à la [...] ou de prendre contact avec son coprévenu Z.________, ainsi que l’obligation de se soumettre à des « contrôles réguliers de détection de stupéfiants ». 8.2 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 8.3 En l’état, aucune mesure de substitution ne paraît pouvoir parer aux risques retenus, le prévenu pouvant entrer en contact avec son coprévenu et d’éventuels témoins en dehors du périmètre de la [...] ou d’une manière échappant à toute surveillance, le contrôle régulier de sa consommation de stupéfiants apparaissant également d’aucune utilité sous l’angle de la collusion.</w:t>
      </w:r>
    </w:p>
    <w:p>
      <w:r>
        <w:rPr>
          <w:b/>
        </w:rPr>
        <w:t>E. 9</w:t>
      </w:r>
    </w:p>
    <w:p>
      <w:r>
        <w:t>Enfin, la durée de la détention provisoire est proportionnée aux charges pesant sur le prévenu et à la peine susceptible d’être prononcée en cas de condamnation pour les faits reprochés, qui pourraient notamment être constitutifs de brigandage. Ainsi, le recourant s'expose concrètement à une peine privative de liberté supérieure à la détention ordonnée, d’une durée de trois mois. Le principe de proportionnalité est donc respecté (art. 212 al. 3 CPP).</w:t>
      </w:r>
    </w:p>
    <w:p>
      <w:r>
        <w:t>- 10 -</w:t>
      </w:r>
    </w:p>
    <w:p>
      <w:r>
        <w:rPr>
          <w:b/>
        </w:rPr>
        <w:t>E. 10</w:t>
      </w:r>
    </w:p>
    <w:p>
      <w:r>
        <w:t>Il résulte de ce qui précède que le recours, manifestement mal fondé, doit être rejeté sans échange d'écritures (art. 390 al. 2 CPP) et l'ordonnance entreprise confirmée. Le défenseur d’office a produit une liste d’opérations faisant état d’une durée totale d’activité de 5h15 (P. 9/4). Cette durée est excessive. Au vu de la nature de la cause et de l’acte de recours, le poste « Etude de l’ordonnance du TMC, étude du dossier et recherches juridiques », pour lequel l’avocate a consacré 1h00, sera réduit à 30 minutes et le poste « Rédaction du recours », pour lequel elle a consacré 3h30, sera réduit à 2h30. En définitive, il sera retenu 3h45 d'activité d'avocat breveté. Vu le sort du recours, les frais de la procédure de recours, constitués de l’émolument d’arrêt, par 1’100 fr. (art. 20 al. 1 TFIP [Tarif des frais de procédure et indemnités en matière pénale du 28 septembre 2010 ; BLV 312.03.1]), ainsi que des frais imputables à la défense d’office (art. 422 al. 1 et 2 let. a CPP), fixés à 742 fr. – qui comprennent des honoraires par 675 fr. (3h45 x 180 fr./h [art. 2 al. 1 RAJ {Règlement sur l’assistance judiciaire en matière civile du 7 décembre 2010 ; BLV 211.02.3}, applicable par analogie en vertu de l’art. 26b TFIP]), des débours forfaitaires de 2 % par 13 fr. 50 (cf. art. 26b TFIP qui renvoie à l'art. 3bis RAJ) et la TVA sur le tout, au taux de 7,7%, par 53 fr. (le tout arrondi) –,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w:t>
      </w:r>
    </w:p>
    <w:p>
      <w:r>
        <w:t>- 11 - I. Le recours est rejeté. II. L’ordonnance du 26 août 2021 est confirmée. III. L’indemnité allouée à Me Estelle Marguet est fixée à 742 fr. (sept cent quarante-deux francs). IV. Les frais d'arrêt, par 1’100 fr. (mille cent francs), ainsi que l'indemnité allouée à Me Estelle Marguet, par 742 fr. (sept cent quarante-deux francs), sont mis à la charge du recourant X.________. V. Le remboursement à l'Etat de l'indemnité allouée sous chiffre III ci-dessus ne sera exigible de X.________ que pour autant que sa situation financière le permette. VI. L’arrêt est exécutoire. Le président : Le greffier : Du Le présent arrêt, dont la rédaction a été approuvée à huis clos, est notifié, par l'envoi d'une copie complète, à : - Me Estelle Marguet, avocate (pour X.________), - Ministère public central, (et par efax) ¨ et communiqué à : - Mme la Présidente du Tribunal des mesures de contrainte, - M. le Procureur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